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77382">
      <w:pPr>
        <w:jc w:val="center"/>
        <w:rPr>
          <w:rFonts w:ascii="黑体" w:hAnsi="黑体" w:eastAsia="黑体" w:cs="Times New Roman"/>
          <w:color w:val="000000"/>
          <w:sz w:val="32"/>
          <w:szCs w:val="32"/>
          <w:shd w:val="clear" w:color="auto" w:fill="FFFFFF"/>
        </w:rPr>
      </w:pPr>
      <w:bookmarkStart w:id="0" w:name="_GoBack"/>
      <w:r>
        <w:rPr>
          <w:rFonts w:hint="eastAsia" w:ascii="黑体" w:hAnsi="黑体" w:eastAsia="黑体" w:cs="黑体"/>
          <w:color w:val="000000"/>
          <w:sz w:val="32"/>
          <w:szCs w:val="32"/>
          <w:shd w:val="clear" w:color="auto" w:fill="FFFFFF"/>
        </w:rPr>
        <w:t>关于《关于景区周边禁止动力驱动三轮车、低速四轮车通行的通告（征求意见稿）》的起草说明</w:t>
      </w:r>
      <w:r>
        <w:rPr>
          <w:rFonts w:hint="eastAsia" w:ascii="MS Mincho" w:hAnsi="MS Mincho" w:eastAsia="MS Mincho" w:cs="MS Mincho"/>
          <w:color w:val="000000"/>
          <w:sz w:val="32"/>
          <w:szCs w:val="32"/>
          <w:shd w:val="clear" w:color="auto" w:fill="FFFFFF"/>
        </w:rPr>
        <w:t>​</w:t>
      </w:r>
    </w:p>
    <w:bookmarkEnd w:id="0"/>
    <w:p w14:paraId="4EE3CEA8">
      <w:pPr>
        <w:pStyle w:val="11"/>
        <w:spacing w:after="0" w:line="540" w:lineRule="exact"/>
        <w:ind w:right="0"/>
        <w:rPr>
          <w:rFonts w:ascii="仿宋_GB2312" w:hAnsi="华文仿宋" w:eastAsia="仿宋_GB2312" w:cs="Times New Roman"/>
          <w:b/>
          <w:bCs/>
          <w:sz w:val="32"/>
          <w:szCs w:val="32"/>
          <w:lang w:val="en-US" w:eastAsia="zh-CN"/>
        </w:rPr>
      </w:pPr>
    </w:p>
    <w:p w14:paraId="4D8AB5EA">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现将《关于景区周边禁止动力驱动三轮车、低速四轮车通行的通告（征求意见稿）》（以下简称《通告》）的有关情况说明如下：</w:t>
      </w:r>
    </w:p>
    <w:p w14:paraId="225EC426">
      <w:pPr>
        <w:ind w:firstLine="640" w:firstLineChars="200"/>
        <w:rPr>
          <w:rFonts w:ascii="黑体" w:hAnsi="黑体" w:eastAsia="黑体" w:cs="Times New Roman"/>
          <w:sz w:val="32"/>
          <w:szCs w:val="32"/>
        </w:rPr>
      </w:pPr>
      <w:r>
        <w:rPr>
          <w:rFonts w:hint="eastAsia" w:ascii="黑体" w:hAnsi="黑体" w:eastAsia="黑体" w:cs="黑体"/>
          <w:sz w:val="32"/>
          <w:szCs w:val="32"/>
        </w:rPr>
        <w:t>一、制定文件的必要性</w:t>
      </w:r>
    </w:p>
    <w:p w14:paraId="499CBF44">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济南市趵突泉、大明湖、泉城广场周边是展示城市形象的重要窗口，区域人流、车流高度密集。近年来，动力驱动三轮车、低速四轮车在该区域大量涌现，存在以下突出问题：</w:t>
      </w:r>
    </w:p>
    <w:p w14:paraId="3715DAFD">
      <w:pPr>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（一）存在安全隐患。</w:t>
      </w:r>
      <w:r>
        <w:rPr>
          <w:rFonts w:hint="eastAsia" w:ascii="仿宋_GB2312" w:hAnsi="仿宋_GB2312" w:eastAsia="仿宋_GB2312" w:cs="仿宋_GB2312"/>
          <w:sz w:val="32"/>
          <w:szCs w:val="32"/>
        </w:rPr>
        <w:t>部分车辆安全性未经国家强制认证，制动、稳定性差；部分驾驶人未经过正规培训和考试，交通规则意识淡薄，闯红灯、逆行、乱穿行等现象频发，交通事故风险高，威胁人民群众生命财产安全。</w:t>
      </w:r>
    </w:p>
    <w:p w14:paraId="74F84D38">
      <w:pPr>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（二）加剧交通拥堵。</w:t>
      </w:r>
      <w:r>
        <w:rPr>
          <w:rFonts w:hint="eastAsia" w:ascii="仿宋_GB2312" w:hAnsi="仿宋_GB2312" w:eastAsia="仿宋_GB2312" w:cs="仿宋_GB2312"/>
          <w:sz w:val="32"/>
          <w:szCs w:val="32"/>
        </w:rPr>
        <w:t>该区域道路资源有限，此类车辆随意停靠、慢行揽客等行为极大降低了道路通行效率，尤其在节假日期间，成为交通拥堵的重要因素。</w:t>
      </w:r>
    </w:p>
    <w:p w14:paraId="36928541">
      <w:pPr>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（三）扰乱交通秩序。</w:t>
      </w:r>
      <w:r>
        <w:rPr>
          <w:rFonts w:hint="eastAsia" w:ascii="仿宋_GB2312" w:hAnsi="仿宋_GB2312" w:eastAsia="仿宋_GB2312" w:cs="仿宋_GB2312"/>
          <w:sz w:val="32"/>
          <w:szCs w:val="32"/>
        </w:rPr>
        <w:t>部分车辆从事载客营运，扰乱正常交通客运市场秩序；部分车辆任意穿行影响道路通行，影响游客旅游体验。</w:t>
      </w:r>
    </w:p>
    <w:p w14:paraId="482FDC47">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为有效治理上述乱象，保障景区周边道路交通安全、有序、畅通，依据相关法律法规，经研究认为有必要联合出台本《通告》。</w:t>
      </w:r>
    </w:p>
    <w:p w14:paraId="4ECBD98F">
      <w:pPr>
        <w:pStyle w:val="12"/>
        <w:tabs>
          <w:tab w:val="left" w:pos="1292"/>
        </w:tabs>
        <w:spacing w:line="540" w:lineRule="exact"/>
        <w:ind w:firstLine="660"/>
        <w:rPr>
          <w:rFonts w:ascii="黑体" w:hAnsi="黑体" w:eastAsia="黑体" w:cs="Times New Roman"/>
          <w:sz w:val="32"/>
          <w:szCs w:val="32"/>
          <w:lang w:val="en-US" w:eastAsia="zh-CN"/>
        </w:rPr>
      </w:pPr>
      <w:r>
        <w:rPr>
          <w:rFonts w:hint="eastAsia" w:ascii="黑体" w:hAnsi="黑体" w:eastAsia="黑体" w:cs="黑体"/>
          <w:sz w:val="32"/>
          <w:szCs w:val="32"/>
          <w:lang w:val="en-US" w:eastAsia="zh-CN"/>
        </w:rPr>
        <w:t>二、起草依据</w:t>
      </w:r>
    </w:p>
    <w:p w14:paraId="071009B5">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中华人民共和国道路交通安全法》（第三十九条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w:t>
      </w:r>
    </w:p>
    <w:p w14:paraId="30DDD94E">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山东省实施〈中华人民共和国道路交通安全法〉办法》（第四十四条县级以上人民政府可以根据本地区道路和交通流量等情况，划定动力驱动三轮车、四轮车等车辆限制通行、禁止通行的区域和时段，规定运输砂石、渣土、土方、建筑废弃物等散装物料车辆行驶的线路、时段和限速标准，设置交通标志，并向社会公布）</w:t>
      </w:r>
      <w:r>
        <w:rPr>
          <w:rFonts w:hint="eastAsia" w:ascii="MS Mincho" w:hAnsi="MS Mincho" w:eastAsia="MS Mincho" w:cs="MS Mincho"/>
          <w:sz w:val="32"/>
          <w:szCs w:val="32"/>
        </w:rPr>
        <w:t>​​</w:t>
      </w:r>
    </w:p>
    <w:p w14:paraId="67C8C21D">
      <w:pPr>
        <w:pStyle w:val="12"/>
        <w:tabs>
          <w:tab w:val="left" w:pos="1292"/>
        </w:tabs>
        <w:spacing w:line="540" w:lineRule="exact"/>
        <w:ind w:firstLine="660"/>
        <w:rPr>
          <w:rFonts w:ascii="黑体" w:hAnsi="黑体" w:eastAsia="黑体" w:cs="Times New Roman"/>
          <w:sz w:val="32"/>
          <w:szCs w:val="32"/>
          <w:lang w:val="en-US" w:eastAsia="zh-CN"/>
        </w:rPr>
      </w:pPr>
      <w:r>
        <w:rPr>
          <w:rFonts w:hint="eastAsia" w:ascii="黑体" w:hAnsi="黑体" w:eastAsia="黑体" w:cs="黑体"/>
          <w:sz w:val="32"/>
          <w:szCs w:val="32"/>
          <w:lang w:val="en-US" w:eastAsia="zh-CN"/>
        </w:rPr>
        <w:t>三、起草过程</w:t>
      </w:r>
    </w:p>
    <w:p w14:paraId="434CFB8F">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前期，对本《通告》涉及区域的交通流量、车辆类型、拥堵节点进行了多次实地勘察和数据收集分析，并调研学习了其他同类城市的交通管理经验，就禁行的必要性、可行性、区域划定、车辆界定、例外情形等核心问题进行了多次专题研究。在实地调研和会商研究基础上，依据法律法规，初步拟定了禁行路段、车辆类型、管理措施等主要内容，并绘制了禁行路线示意图。在形成征求意见稿之前，已初步征求了市交通运输局、市司法局、市文旅局、市城管局、市公安局交管支队等市级相关部门及法律顾问的意见，并对方案进行了修改完善。</w:t>
      </w:r>
    </w:p>
    <w:p w14:paraId="7B8AA387">
      <w:pPr>
        <w:pStyle w:val="12"/>
        <w:numPr>
          <w:ilvl w:val="0"/>
          <w:numId w:val="1"/>
        </w:numPr>
        <w:tabs>
          <w:tab w:val="left" w:pos="1292"/>
        </w:tabs>
        <w:spacing w:line="540" w:lineRule="exact"/>
        <w:ind w:firstLine="660"/>
        <w:rPr>
          <w:rFonts w:ascii="黑体" w:hAnsi="黑体" w:eastAsia="黑体" w:cs="Times New Roman"/>
          <w:sz w:val="32"/>
          <w:szCs w:val="32"/>
          <w:lang w:val="en-US" w:eastAsia="zh-CN"/>
        </w:rPr>
      </w:pPr>
      <w:r>
        <w:rPr>
          <w:rFonts w:hint="eastAsia" w:ascii="黑体" w:hAnsi="黑体" w:eastAsia="黑体" w:cs="黑体"/>
          <w:sz w:val="32"/>
          <w:szCs w:val="32"/>
          <w:lang w:val="en-US" w:eastAsia="zh-CN"/>
        </w:rPr>
        <w:t>主要内容</w:t>
      </w:r>
    </w:p>
    <w:p w14:paraId="76F981DD">
      <w:pPr>
        <w:spacing w:line="600" w:lineRule="exact"/>
        <w:ind w:firstLine="640" w:firstLineChars="200"/>
        <w:rPr>
          <w:rFonts w:ascii="仿宋_GB2312" w:eastAsia="仿宋_GB2312" w:cs="Times New Roman"/>
          <w:sz w:val="32"/>
          <w:szCs w:val="32"/>
        </w:rPr>
      </w:pPr>
      <w:r>
        <w:rPr>
          <w:rFonts w:hint="eastAsia" w:ascii="楷体_GB2312" w:hAnsi="楷体_GB2312" w:eastAsia="楷体_GB2312" w:cs="楷体_GB2312"/>
          <w:kern w:val="0"/>
          <w:sz w:val="32"/>
          <w:szCs w:val="32"/>
        </w:rPr>
        <w:t>（一）禁行路段。</w:t>
      </w:r>
      <w:r>
        <w:rPr>
          <w:rFonts w:hint="eastAsia" w:ascii="仿宋_GB2312" w:hAnsi="仿宋" w:eastAsia="仿宋_GB2312" w:cs="仿宋_GB2312"/>
          <w:kern w:val="0"/>
          <w:sz w:val="32"/>
          <w:szCs w:val="32"/>
        </w:rPr>
        <w:t>少年路、铜元局前街（周公祠街至启盛街）、启盛街、明湖北路（启盛街至黑虎泉北路）、</w:t>
      </w:r>
      <w:r>
        <w:rPr>
          <w:rFonts w:hint="eastAsia" w:ascii="仿宋_GB2312" w:eastAsia="仿宋_GB2312" w:cs="仿宋_GB2312"/>
          <w:sz w:val="32"/>
          <w:szCs w:val="32"/>
        </w:rPr>
        <w:t>黑虎泉北路、黑虎泉西路、趵突泉南路（五三桥至泺源大街路段</w:t>
      </w:r>
      <w:r>
        <w:rPr>
          <w:rFonts w:ascii="仿宋_GB2312" w:eastAsia="仿宋_GB2312" w:cs="仿宋_GB2312"/>
          <w:sz w:val="32"/>
          <w:szCs w:val="32"/>
        </w:rPr>
        <w:t>,</w:t>
      </w:r>
      <w:r>
        <w:rPr>
          <w:rFonts w:hint="eastAsia" w:ascii="仿宋_GB2312" w:eastAsia="仿宋_GB2312" w:cs="仿宋_GB2312"/>
          <w:sz w:val="32"/>
          <w:szCs w:val="32"/>
        </w:rPr>
        <w:t>不含泺源大街路口）</w:t>
      </w:r>
      <w:r>
        <w:rPr>
          <w:rFonts w:hint="eastAsia" w:ascii="仿宋_GB2312" w:hAnsi="仿宋" w:eastAsia="仿宋_GB2312" w:cs="仿宋_GB2312"/>
          <w:kern w:val="0"/>
          <w:sz w:val="32"/>
          <w:szCs w:val="32"/>
        </w:rPr>
        <w:t>、</w:t>
      </w:r>
      <w:r>
        <w:rPr>
          <w:rFonts w:hint="eastAsia" w:ascii="仿宋_GB2312" w:eastAsia="仿宋_GB2312" w:cs="仿宋_GB2312"/>
          <w:sz w:val="32"/>
          <w:szCs w:val="32"/>
        </w:rPr>
        <w:t>趵突泉北路、大明湖路、共青团路（西门桥至饮虎池街，不含饮虎池街路口）、泉城路（西门桥至县东巷，不含县东巷路口）、省府前街、院前街、天地坛街、县西巷、舜井街、按察司街（大明湖路至苗家巷）。</w:t>
      </w:r>
    </w:p>
    <w:p w14:paraId="1CD94D9C">
      <w:pPr>
        <w:spacing w:line="600" w:lineRule="exact"/>
        <w:ind w:firstLine="640" w:firstLineChars="200"/>
        <w:rPr>
          <w:rFonts w:ascii="仿宋_GB2312" w:eastAsia="仿宋_GB2312" w:cs="Times New Roman"/>
          <w:sz w:val="32"/>
          <w:szCs w:val="32"/>
        </w:rPr>
      </w:pPr>
      <w:r>
        <w:rPr>
          <w:rFonts w:hint="eastAsia" w:ascii="楷体_GB2312" w:hAnsi="楷体_GB2312" w:eastAsia="楷体_GB2312" w:cs="楷体_GB2312"/>
          <w:sz w:val="32"/>
          <w:szCs w:val="32"/>
        </w:rPr>
        <w:t>（二）禁行车辆。</w:t>
      </w:r>
      <w:r>
        <w:rPr>
          <w:rFonts w:hint="eastAsia" w:ascii="仿宋_GB2312" w:eastAsia="仿宋_GB2312" w:cs="仿宋_GB2312"/>
          <w:sz w:val="32"/>
          <w:szCs w:val="32"/>
        </w:rPr>
        <w:t>以上路段全天</w:t>
      </w:r>
      <w:r>
        <w:rPr>
          <w:rFonts w:ascii="仿宋_GB2312" w:eastAsia="仿宋_GB2312" w:cs="仿宋_GB2312"/>
          <w:sz w:val="32"/>
          <w:szCs w:val="32"/>
        </w:rPr>
        <w:t>24</w:t>
      </w:r>
      <w:r>
        <w:rPr>
          <w:rFonts w:hint="eastAsia" w:ascii="仿宋_GB2312" w:eastAsia="仿宋_GB2312" w:cs="仿宋_GB2312"/>
          <w:sz w:val="32"/>
          <w:szCs w:val="32"/>
        </w:rPr>
        <w:t>小时禁止动力驱动三轮车、低速四轮车（即设计最高时速低于</w:t>
      </w:r>
      <w:r>
        <w:rPr>
          <w:rFonts w:ascii="仿宋_GB2312" w:eastAsia="仿宋_GB2312" w:cs="仿宋_GB2312"/>
          <w:sz w:val="32"/>
          <w:szCs w:val="32"/>
        </w:rPr>
        <w:t>70</w:t>
      </w:r>
      <w:r>
        <w:rPr>
          <w:rFonts w:hint="eastAsia" w:ascii="仿宋_GB2312" w:eastAsia="仿宋_GB2312" w:cs="仿宋_GB2312"/>
          <w:sz w:val="32"/>
          <w:szCs w:val="32"/>
        </w:rPr>
        <w:t>公里的四轮机动车）通行；救护、工程救险、应急救援、军队、警务、消防、城市管理、邮政、快递、环卫等特种车辆和城市公共服务车辆，不受禁止通行限制。</w:t>
      </w:r>
    </w:p>
    <w:p w14:paraId="60B3B483">
      <w:pPr>
        <w:pStyle w:val="12"/>
        <w:wordWrap w:val="0"/>
        <w:snapToGrid w:val="0"/>
        <w:spacing w:after="300" w:line="540" w:lineRule="exact"/>
        <w:ind w:firstLine="658"/>
        <w:jc w:val="center"/>
        <w:rPr>
          <w:rFonts w:ascii="仿宋_GB2312" w:hAnsi="华文仿宋" w:eastAsia="仿宋_GB2312" w:cs="Times New Roman"/>
          <w:sz w:val="32"/>
          <w:szCs w:val="32"/>
          <w:lang w:val="en-US" w:eastAsia="zh-CN"/>
        </w:rPr>
      </w:pPr>
    </w:p>
    <w:p w14:paraId="3D0430D8">
      <w:pPr>
        <w:ind w:firstLine="640" w:firstLineChars="200"/>
        <w:jc w:val="left"/>
        <w:rPr>
          <w:rFonts w:ascii="仿宋_GB2312" w:hAnsi="仿宋_GB2312" w:eastAsia="仿宋_GB2312" w:cs="Times New Roman"/>
          <w:color w:val="000000"/>
          <w:sz w:val="32"/>
          <w:szCs w:val="32"/>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B183">
    <w:pPr>
      <w:pStyle w:val="3"/>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F37995">
                          <w:pPr>
                            <w:pStyle w:val="3"/>
                            <w:rPr>
                              <w:rFonts w:cs="Times New Roman"/>
                            </w:rPr>
                          </w:pPr>
                          <w:r>
                            <w:fldChar w:fldCharType="begin"/>
                          </w:r>
                          <w:r>
                            <w:instrText xml:space="preserve"> PAGE  \* MERGEFORMAT </w:instrText>
                          </w:r>
                          <w:r>
                            <w:fldChar w:fldCharType="separate"/>
                          </w:r>
                          <w:r>
                            <w:t>8</w:t>
                          </w:r>
                          <w:r>
                            <w:fldChar w:fldCharType="end"/>
                          </w:r>
                        </w:p>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2MbPBNMAAAAFAQAADwAAAAAAAAABACAAAAAiAAAAZHJzL2Rv&#10;d25yZXYueG1sUEsBAhQAFAAAAAgAh07iQESRs+bNAQAAtwMAAA4AAAAAAAAAAQAgAAAAIgEAAGRy&#10;cy9lMm9Eb2MueG1sUEsFBgAAAAAGAAYAWQEAAGEFAAAAAA==&#10;">
              <v:fill on="f" focussize="0,0"/>
              <v:stroke on="f"/>
              <v:imagedata o:title=""/>
              <o:lock v:ext="edit" aspectratio="f"/>
              <v:textbox>
                <w:txbxContent>
                  <w:p w14:paraId="4AF37995">
                    <w:pPr>
                      <w:pStyle w:val="3"/>
                      <w:rPr>
                        <w:rFonts w:cs="Times New Roman"/>
                      </w:rPr>
                    </w:pPr>
                    <w:r>
                      <w:fldChar w:fldCharType="begin"/>
                    </w:r>
                    <w:r>
                      <w:instrText xml:space="preserve"> PAGE  \* MERGEFORMAT </w:instrText>
                    </w:r>
                    <w:r>
                      <w:fldChar w:fldCharType="separate"/>
                    </w:r>
                    <w:r>
                      <w:t>8</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6FBB1"/>
    <w:multiLevelType w:val="singleLevel"/>
    <w:tmpl w:val="6896FBB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17267"/>
    <w:rsid w:val="00165831"/>
    <w:rsid w:val="00180820"/>
    <w:rsid w:val="001C5094"/>
    <w:rsid w:val="00662213"/>
    <w:rsid w:val="006B0018"/>
    <w:rsid w:val="006F7DD6"/>
    <w:rsid w:val="008E569C"/>
    <w:rsid w:val="00AB3C7B"/>
    <w:rsid w:val="00BF1EB3"/>
    <w:rsid w:val="00CA1864"/>
    <w:rsid w:val="00E547D8"/>
    <w:rsid w:val="02787B3D"/>
    <w:rsid w:val="077A3511"/>
    <w:rsid w:val="0BFA3876"/>
    <w:rsid w:val="0F6925D8"/>
    <w:rsid w:val="11C33962"/>
    <w:rsid w:val="18C24EAC"/>
    <w:rsid w:val="1FE17267"/>
    <w:rsid w:val="25847A9B"/>
    <w:rsid w:val="273D53A6"/>
    <w:rsid w:val="39581820"/>
    <w:rsid w:val="3FF67195"/>
    <w:rsid w:val="4449497C"/>
    <w:rsid w:val="48E259A3"/>
    <w:rsid w:val="51370094"/>
    <w:rsid w:val="586F7408"/>
    <w:rsid w:val="62312A9A"/>
    <w:rsid w:val="684170BD"/>
    <w:rsid w:val="70587339"/>
    <w:rsid w:val="713E0B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ocked="1"/>
    <w:lsdException w:uiPriority="99" w:name="heading 2" w:locked="1"/>
    <w:lsdException w:uiPriority="99" w:name="heading 3" w:locked="1"/>
    <w:lsdException w:uiPriority="99" w:name="heading 4" w:locked="1"/>
    <w:lsdException w:uiPriority="99" w:name="heading 5" w:locked="1"/>
    <w:lsdException w:uiPriority="99" w:name="heading 6" w:locked="1"/>
    <w:lsdException w:uiPriority="99" w:name="heading 7" w:locked="1"/>
    <w:lsdException w:uiPriority="99" w:name="heading 8" w:locked="1"/>
    <w:lsdException w:uiPriority="99"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uiPriority="99"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unhideWhenUsed="0" w:uiPriority="99"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styleId="8">
    <w:name w:val="Strong"/>
    <w:basedOn w:val="7"/>
    <w:qFormat/>
    <w:uiPriority w:val="99"/>
    <w:rPr>
      <w:b/>
      <w:bCs/>
    </w:rPr>
  </w:style>
  <w:style w:type="character" w:customStyle="1" w:styleId="9">
    <w:name w:val="页脚 Char"/>
    <w:basedOn w:val="7"/>
    <w:link w:val="3"/>
    <w:semiHidden/>
    <w:qFormat/>
    <w:uiPriority w:val="99"/>
    <w:rPr>
      <w:rFonts w:ascii="Calibri" w:hAnsi="Calibri" w:cs="Calibri"/>
      <w:sz w:val="18"/>
      <w:szCs w:val="18"/>
    </w:rPr>
  </w:style>
  <w:style w:type="character" w:customStyle="1" w:styleId="10">
    <w:name w:val="页眉 Char"/>
    <w:basedOn w:val="7"/>
    <w:link w:val="4"/>
    <w:semiHidden/>
    <w:qFormat/>
    <w:uiPriority w:val="99"/>
    <w:rPr>
      <w:rFonts w:ascii="Calibri" w:hAnsi="Calibri" w:cs="Calibri"/>
      <w:sz w:val="18"/>
      <w:szCs w:val="18"/>
    </w:rPr>
  </w:style>
  <w:style w:type="paragraph" w:customStyle="1" w:styleId="11">
    <w:name w:val="Body text|2"/>
    <w:basedOn w:val="1"/>
    <w:qFormat/>
    <w:uiPriority w:val="99"/>
    <w:pPr>
      <w:spacing w:after="690"/>
      <w:ind w:right="170"/>
      <w:jc w:val="center"/>
    </w:pPr>
    <w:rPr>
      <w:sz w:val="30"/>
      <w:szCs w:val="30"/>
      <w:lang w:val="zh-TW" w:eastAsia="zh-TW"/>
    </w:rPr>
  </w:style>
  <w:style w:type="paragraph" w:customStyle="1" w:styleId="12">
    <w:name w:val="Body text|1"/>
    <w:basedOn w:val="1"/>
    <w:qFormat/>
    <w:uiPriority w:val="99"/>
    <w:pPr>
      <w:spacing w:line="422" w:lineRule="auto"/>
      <w:ind w:firstLine="400"/>
    </w:pPr>
    <w:rPr>
      <w:rFonts w:ascii="宋体" w:hAnsi="宋体" w:cs="宋体"/>
      <w:sz w:val="30"/>
      <w:szCs w:val="30"/>
      <w:lang w:val="zh-TW" w:eastAsia="zh-TW"/>
    </w:rPr>
  </w:style>
  <w:style w:type="character" w:customStyle="1" w:styleId="13">
    <w:name w:val="批注框文本 Char"/>
    <w:basedOn w:val="7"/>
    <w:link w:val="2"/>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1307</Words>
  <Characters>1311</Characters>
  <Lines>18</Lines>
  <Paragraphs>5</Paragraphs>
  <TotalTime>1100</TotalTime>
  <ScaleCrop>false</ScaleCrop>
  <LinksUpToDate>false</LinksUpToDate>
  <CharactersWithSpaces>1311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2025-10-17T02:12:00Z</dcterms:created>
  <dc:creator>孙小宁</dc:creator>
  <cp:lastModifiedBy>仰光</cp:lastModifiedBy>
  <cp:lastPrinted>2025-10-21T06:02:00Z</cp:lastPrinted>
  <dcterms:modified xsi:type="dcterms:W3CDTF">2025-10-23T06:55:34Z</dcterms:modified>
  <dc:title>关于公开征求《关于景区周边禁止动力驱动三轮车、低速四轮车通行的通告（征求意见稿）》意见的公告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3EF8542271D1439D8DD77F4A772E456F_13</vt:lpwstr>
  </property>
  <property fmtid="{D5CDD505-2E9C-101B-9397-08002B2CF9AE}" pid="4" name="KSOTemplateDocerSaveRecord">
    <vt:lpwstr>eyJoZGlkIjoiZjg3NmEwNTk3YzIxMWEzMjc4MTMyYjUwNWZjNmViYzAiLCJ1c2VySWQiOiIyMzA4NjI2ODYifQ==</vt:lpwstr>
  </property>
</Properties>
</file>