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20"/>
        </w:rPr>
      </w:pPr>
    </w:p>
    <w:p>
      <w:pPr>
        <w:spacing w:before="0" w:line="1202" w:lineRule="exact"/>
        <w:ind w:left="0" w:right="146" w:firstLine="0"/>
        <w:jc w:val="center"/>
        <w:rPr>
          <w:rFonts w:hint="eastAsia" w:ascii="微软雅黑" w:eastAsia="微软雅黑"/>
          <w:b/>
          <w:sz w:val="72"/>
        </w:rPr>
      </w:pPr>
      <w:r>
        <w:rPr>
          <w:rFonts w:hint="eastAsia" w:ascii="微软雅黑" w:eastAsia="微软雅黑"/>
          <w:b/>
          <w:sz w:val="72"/>
          <w:lang w:val="en-US" w:eastAsia="zh-CN"/>
        </w:rPr>
        <w:t>济南古城（明府城片区）  “十四五”</w:t>
      </w:r>
      <w:r>
        <w:rPr>
          <w:rFonts w:hint="eastAsia" w:ascii="微软雅黑" w:eastAsia="微软雅黑"/>
          <w:b/>
          <w:sz w:val="72"/>
        </w:rPr>
        <w:t>发展规划</w:t>
      </w:r>
    </w:p>
    <w:p>
      <w:pPr>
        <w:pStyle w:val="6"/>
        <w:spacing w:before="8"/>
        <w:rPr>
          <w:rFonts w:ascii="微软雅黑"/>
          <w:b/>
          <w:sz w:val="64"/>
        </w:rPr>
      </w:pPr>
    </w:p>
    <w:p>
      <w:pPr>
        <w:pStyle w:val="6"/>
        <w:rPr>
          <w:rFonts w:ascii="宋体"/>
          <w:sz w:val="48"/>
        </w:rPr>
      </w:pPr>
    </w:p>
    <w:p>
      <w:pPr>
        <w:pStyle w:val="6"/>
        <w:rPr>
          <w:rFonts w:ascii="宋体"/>
          <w:sz w:val="48"/>
        </w:rPr>
      </w:pPr>
    </w:p>
    <w:p>
      <w:pPr>
        <w:pStyle w:val="6"/>
        <w:rPr>
          <w:rFonts w:ascii="宋体"/>
          <w:sz w:val="48"/>
        </w:rPr>
      </w:pPr>
    </w:p>
    <w:p>
      <w:pPr>
        <w:pStyle w:val="6"/>
        <w:rPr>
          <w:rFonts w:ascii="宋体"/>
          <w:sz w:val="48"/>
        </w:rPr>
      </w:pPr>
    </w:p>
    <w:p>
      <w:pPr>
        <w:pStyle w:val="6"/>
        <w:rPr>
          <w:rFonts w:ascii="宋体"/>
          <w:sz w:val="48"/>
        </w:rPr>
      </w:pPr>
    </w:p>
    <w:p>
      <w:pPr>
        <w:pStyle w:val="6"/>
        <w:rPr>
          <w:rFonts w:ascii="宋体"/>
          <w:sz w:val="48"/>
        </w:rPr>
      </w:pPr>
    </w:p>
    <w:p>
      <w:pPr>
        <w:pStyle w:val="6"/>
        <w:rPr>
          <w:rFonts w:ascii="宋体"/>
          <w:sz w:val="48"/>
        </w:rPr>
      </w:pPr>
    </w:p>
    <w:p>
      <w:pPr>
        <w:pStyle w:val="6"/>
        <w:rPr>
          <w:rFonts w:ascii="宋体"/>
          <w:sz w:val="48"/>
        </w:rPr>
      </w:pPr>
    </w:p>
    <w:p>
      <w:pPr>
        <w:pStyle w:val="6"/>
        <w:spacing w:before="7"/>
        <w:rPr>
          <w:rFonts w:ascii="宋体"/>
          <w:sz w:val="59"/>
        </w:rPr>
      </w:pPr>
    </w:p>
    <w:p>
      <w:pPr>
        <w:pStyle w:val="5"/>
        <w:spacing w:line="276" w:lineRule="auto"/>
        <w:ind w:left="2292" w:right="2436"/>
      </w:pPr>
      <w:r>
        <w:rPr>
          <w:rFonts w:hint="eastAsia"/>
          <w:spacing w:val="-2"/>
          <w:lang w:val="en-US" w:eastAsia="zh-CN"/>
        </w:rPr>
        <w:t>济南古城保护和发展</w:t>
      </w:r>
      <w:r>
        <w:rPr>
          <w:spacing w:val="-2"/>
        </w:rPr>
        <w:t>中心</w:t>
      </w:r>
      <w:r>
        <w:rPr>
          <w:rFonts w:hint="eastAsia"/>
          <w:spacing w:val="-2"/>
          <w:lang w:val="en-US" w:eastAsia="zh-CN"/>
        </w:rPr>
        <w:t xml:space="preserve">     </w:t>
      </w:r>
      <w:r>
        <w:t>二〇</w:t>
      </w:r>
      <w:r>
        <w:rPr>
          <w:rFonts w:hint="eastAsia"/>
          <w:lang w:val="en-US" w:eastAsia="zh-CN"/>
        </w:rPr>
        <w:t>二一</w:t>
      </w:r>
      <w:r>
        <w:t>年五月</w:t>
      </w:r>
    </w:p>
    <w:p>
      <w:pPr>
        <w:spacing w:after="0" w:line="276" w:lineRule="auto"/>
        <w:sectPr>
          <w:type w:val="continuous"/>
          <w:pgSz w:w="11910" w:h="16840"/>
          <w:pgMar w:top="1580" w:right="1180" w:bottom="280" w:left="1520" w:header="720" w:footer="720" w:gutter="0"/>
          <w:cols w:space="720" w:num="1"/>
        </w:sectPr>
      </w:pPr>
    </w:p>
    <w:p>
      <w:pPr>
        <w:tabs>
          <w:tab w:val="left" w:pos="720"/>
        </w:tabs>
        <w:spacing w:before="0" w:line="637" w:lineRule="exact"/>
        <w:ind w:left="0" w:right="338" w:firstLine="0"/>
        <w:jc w:val="center"/>
        <w:rPr>
          <w:rFonts w:hint="eastAsia" w:ascii="微软雅黑" w:eastAsia="微软雅黑"/>
          <w:b/>
          <w:sz w:val="36"/>
        </w:rPr>
      </w:pPr>
      <w:r>
        <w:rPr>
          <w:rFonts w:hint="eastAsia" w:ascii="微软雅黑" w:eastAsia="微软雅黑"/>
          <w:b/>
          <w:sz w:val="36"/>
        </w:rPr>
        <w:t>目</w:t>
      </w:r>
      <w:r>
        <w:rPr>
          <w:rFonts w:hint="eastAsia" w:ascii="微软雅黑" w:eastAsia="微软雅黑"/>
          <w:b/>
          <w:sz w:val="36"/>
        </w:rPr>
        <w:tab/>
      </w:r>
      <w:r>
        <w:rPr>
          <w:rFonts w:hint="eastAsia" w:ascii="微软雅黑" w:eastAsia="微软雅黑"/>
          <w:b/>
          <w:sz w:val="36"/>
        </w:rPr>
        <w:t>录</w:t>
      </w:r>
    </w:p>
    <w:sdt>
      <w:sdtPr>
        <w:rPr>
          <w:rFonts w:ascii="宋体" w:hAnsi="宋体" w:eastAsia="宋体" w:cs="仿宋_GB2312"/>
          <w:sz w:val="21"/>
          <w:szCs w:val="22"/>
          <w:lang w:val="zh-CN" w:eastAsia="zh-CN" w:bidi="zh-CN"/>
        </w:rPr>
        <w:id w:val="147461941"/>
        <w15:color w:val="DBDBDB"/>
        <w:docPartObj>
          <w:docPartGallery w:val="Table of Contents"/>
          <w:docPartUnique/>
        </w:docPartObj>
      </w:sdtPr>
      <w:sdtEndPr>
        <w:rPr>
          <w:rFonts w:ascii="Times New Roman" w:hAnsi="仿宋_GB2312" w:eastAsia="Times New Roman" w:cs="仿宋_GB2312"/>
          <w:sz w:val="22"/>
          <w:szCs w:val="22"/>
          <w:lang w:val="zh-CN" w:eastAsia="zh-CN" w:bidi="zh-CN"/>
        </w:rPr>
      </w:sdtEndPr>
      <w:sdtContent>
        <w:p>
          <w:pPr>
            <w:spacing w:before="0" w:beforeLines="0" w:after="0" w:afterLines="0" w:line="240" w:lineRule="auto"/>
            <w:ind w:left="0" w:leftChars="0" w:right="0" w:rightChars="0" w:firstLine="0" w:firstLineChars="0"/>
            <w:jc w:val="center"/>
          </w:pPr>
        </w:p>
        <w:p>
          <w:pPr>
            <w:pStyle w:val="12"/>
            <w:tabs>
              <w:tab w:val="right" w:pos="2400"/>
              <w:tab w:val="right" w:leader="dot" w:pos="9210"/>
            </w:tabs>
          </w:pPr>
          <w:r>
            <w:rPr>
              <w:rFonts w:ascii="Times New Roman" w:eastAsia="Times New Roman"/>
            </w:rPr>
            <w:fldChar w:fldCharType="begin"/>
          </w:r>
          <w:r>
            <w:rPr>
              <w:rFonts w:ascii="Times New Roman" w:eastAsia="Times New Roman"/>
            </w:rPr>
            <w:instrText xml:space="preserve">TOC \o "1-3" \h \u </w:instrText>
          </w:r>
          <w:r>
            <w:rPr>
              <w:rFonts w:ascii="Times New Roman" w:eastAsia="Times New Roman"/>
            </w:rPr>
            <w:fldChar w:fldCharType="separate"/>
          </w:r>
          <w:r>
            <w:rPr>
              <w:rFonts w:ascii="Times New Roman" w:eastAsia="Times New Roman"/>
            </w:rPr>
            <w:fldChar w:fldCharType="begin"/>
          </w:r>
          <w:r>
            <w:rPr>
              <w:rFonts w:ascii="Times New Roman" w:eastAsia="Times New Roman"/>
            </w:rPr>
            <w:instrText xml:space="preserve"> HYPERLINK \l _Toc3954 </w:instrText>
          </w:r>
          <w:r>
            <w:rPr>
              <w:rFonts w:ascii="Times New Roman" w:eastAsia="Times New Roman"/>
            </w:rPr>
            <w:fldChar w:fldCharType="separate"/>
          </w:r>
          <w:r>
            <w:t>前</w:t>
          </w:r>
          <w:r>
            <w:tab/>
          </w:r>
          <w:r>
            <w:t>言</w:t>
          </w:r>
          <w:r>
            <w:tab/>
          </w:r>
          <w:r>
            <w:fldChar w:fldCharType="begin"/>
          </w:r>
          <w:r>
            <w:instrText xml:space="preserve"> PAGEREF _Toc3954 \h </w:instrText>
          </w:r>
          <w:r>
            <w:fldChar w:fldCharType="separate"/>
          </w:r>
          <w:r>
            <w:t>1</w:t>
          </w:r>
          <w:r>
            <w:fldChar w:fldCharType="end"/>
          </w:r>
          <w:r>
            <w:rPr>
              <w:rFonts w:ascii="Times New Roman" w:eastAsia="Times New Roman"/>
            </w:rPr>
            <w:fldChar w:fldCharType="end"/>
          </w:r>
        </w:p>
        <w:p>
          <w:pPr>
            <w:pStyle w:val="12"/>
            <w:tabs>
              <w:tab w:val="right" w:leader="dot" w:pos="9210"/>
            </w:tabs>
          </w:pPr>
          <w:r>
            <w:rPr>
              <w:rFonts w:ascii="Times New Roman" w:eastAsia="Times New Roman"/>
            </w:rPr>
            <w:fldChar w:fldCharType="begin"/>
          </w:r>
          <w:r>
            <w:rPr>
              <w:rFonts w:ascii="Times New Roman" w:eastAsia="Times New Roman"/>
            </w:rPr>
            <w:instrText xml:space="preserve"> HYPERLINK \l _Toc29843 </w:instrText>
          </w:r>
          <w:r>
            <w:rPr>
              <w:rFonts w:ascii="Times New Roman" w:eastAsia="Times New Roman"/>
            </w:rPr>
            <w:fldChar w:fldCharType="separate"/>
          </w:r>
          <w:r>
            <w:t>第一章 背景和意义</w:t>
          </w:r>
          <w:r>
            <w:tab/>
          </w:r>
          <w:r>
            <w:fldChar w:fldCharType="begin"/>
          </w:r>
          <w:r>
            <w:instrText xml:space="preserve"> PAGEREF _Toc29843 \h </w:instrText>
          </w:r>
          <w:r>
            <w:fldChar w:fldCharType="separate"/>
          </w:r>
          <w:r>
            <w:t>2</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_Toc25417 </w:instrText>
          </w:r>
          <w:r>
            <w:rPr>
              <w:rFonts w:ascii="Times New Roman" w:eastAsia="Times New Roman"/>
            </w:rPr>
            <w:fldChar w:fldCharType="separate"/>
          </w:r>
          <w:r>
            <w:rPr>
              <w:rFonts w:hint="eastAsia"/>
            </w:rPr>
            <w:t xml:space="preserve">第一节 </w:t>
          </w:r>
          <w:r>
            <w:t>发展背景</w:t>
          </w:r>
          <w:r>
            <w:tab/>
          </w:r>
          <w:r>
            <w:fldChar w:fldCharType="begin"/>
          </w:r>
          <w:r>
            <w:instrText xml:space="preserve"> PAGEREF _Toc25417 \h </w:instrText>
          </w:r>
          <w:r>
            <w:fldChar w:fldCharType="separate"/>
          </w:r>
          <w:r>
            <w:t>2</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_Toc15436 </w:instrText>
          </w:r>
          <w:r>
            <w:rPr>
              <w:rFonts w:ascii="Times New Roman" w:eastAsia="Times New Roman"/>
            </w:rPr>
            <w:fldChar w:fldCharType="separate"/>
          </w:r>
          <w:r>
            <w:t>第二节 重要意义</w:t>
          </w:r>
          <w:r>
            <w:tab/>
          </w:r>
          <w:r>
            <w:fldChar w:fldCharType="begin"/>
          </w:r>
          <w:r>
            <w:instrText xml:space="preserve"> PAGEREF _Toc15436 \h </w:instrText>
          </w:r>
          <w:r>
            <w:fldChar w:fldCharType="separate"/>
          </w:r>
          <w:r>
            <w:t>5</w:t>
          </w:r>
          <w:r>
            <w:fldChar w:fldCharType="end"/>
          </w:r>
          <w:r>
            <w:rPr>
              <w:rFonts w:ascii="Times New Roman" w:eastAsia="Times New Roman"/>
            </w:rPr>
            <w:fldChar w:fldCharType="end"/>
          </w:r>
        </w:p>
        <w:p>
          <w:pPr>
            <w:pStyle w:val="12"/>
            <w:tabs>
              <w:tab w:val="right" w:leader="dot" w:pos="9210"/>
            </w:tabs>
          </w:pPr>
          <w:r>
            <w:rPr>
              <w:rFonts w:ascii="Times New Roman" w:eastAsia="Times New Roman"/>
            </w:rPr>
            <w:fldChar w:fldCharType="begin"/>
          </w:r>
          <w:r>
            <w:rPr>
              <w:rFonts w:ascii="Times New Roman" w:eastAsia="Times New Roman"/>
            </w:rPr>
            <w:instrText xml:space="preserve"> HYPERLINK \l _Toc900 </w:instrText>
          </w:r>
          <w:r>
            <w:rPr>
              <w:rFonts w:ascii="Times New Roman" w:eastAsia="Times New Roman"/>
            </w:rPr>
            <w:fldChar w:fldCharType="separate"/>
          </w:r>
          <w:r>
            <w:t>第二章 总体要求和发展目标</w:t>
          </w:r>
          <w:r>
            <w:tab/>
          </w:r>
          <w:r>
            <w:fldChar w:fldCharType="begin"/>
          </w:r>
          <w:r>
            <w:instrText xml:space="preserve"> PAGEREF _Toc900 \h </w:instrText>
          </w:r>
          <w:r>
            <w:fldChar w:fldCharType="separate"/>
          </w:r>
          <w:r>
            <w:t>6</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_Toc12806 </w:instrText>
          </w:r>
          <w:r>
            <w:rPr>
              <w:rFonts w:ascii="Times New Roman" w:eastAsia="Times New Roman"/>
            </w:rPr>
            <w:fldChar w:fldCharType="separate"/>
          </w:r>
          <w:r>
            <w:t>第一节 指导思想</w:t>
          </w:r>
          <w:r>
            <w:tab/>
          </w:r>
          <w:r>
            <w:fldChar w:fldCharType="begin"/>
          </w:r>
          <w:r>
            <w:instrText xml:space="preserve"> PAGEREF _Toc12806 \h </w:instrText>
          </w:r>
          <w:r>
            <w:fldChar w:fldCharType="separate"/>
          </w:r>
          <w:r>
            <w:t>6</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_Toc26930 </w:instrText>
          </w:r>
          <w:r>
            <w:rPr>
              <w:rFonts w:ascii="Times New Roman" w:eastAsia="Times New Roman"/>
            </w:rPr>
            <w:fldChar w:fldCharType="separate"/>
          </w:r>
          <w:r>
            <w:t>第二节 基本原则</w:t>
          </w:r>
          <w:r>
            <w:tab/>
          </w:r>
          <w:r>
            <w:fldChar w:fldCharType="begin"/>
          </w:r>
          <w:r>
            <w:instrText xml:space="preserve"> PAGEREF _Toc26930 \h </w:instrText>
          </w:r>
          <w:r>
            <w:fldChar w:fldCharType="separate"/>
          </w:r>
          <w:r>
            <w:t>7</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_Toc19976 </w:instrText>
          </w:r>
          <w:r>
            <w:rPr>
              <w:rFonts w:ascii="Times New Roman" w:eastAsia="Times New Roman"/>
            </w:rPr>
            <w:fldChar w:fldCharType="separate"/>
          </w:r>
          <w:r>
            <w:t>第三节 发展定位</w:t>
          </w:r>
          <w:r>
            <w:tab/>
          </w:r>
          <w:r>
            <w:fldChar w:fldCharType="begin"/>
          </w:r>
          <w:r>
            <w:instrText xml:space="preserve"> PAGEREF _Toc19976 \h </w:instrText>
          </w:r>
          <w:r>
            <w:fldChar w:fldCharType="separate"/>
          </w:r>
          <w:r>
            <w:t>8</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_Toc18726 </w:instrText>
          </w:r>
          <w:r>
            <w:rPr>
              <w:rFonts w:ascii="Times New Roman" w:eastAsia="Times New Roman"/>
            </w:rPr>
            <w:fldChar w:fldCharType="separate"/>
          </w:r>
          <w:r>
            <w:t>第四节 发展目标</w:t>
          </w:r>
          <w:r>
            <w:tab/>
          </w:r>
          <w:r>
            <w:fldChar w:fldCharType="begin"/>
          </w:r>
          <w:r>
            <w:instrText xml:space="preserve"> PAGEREF _Toc18726 \h </w:instrText>
          </w:r>
          <w:r>
            <w:fldChar w:fldCharType="separate"/>
          </w:r>
          <w:r>
            <w:t>10</w:t>
          </w:r>
          <w:r>
            <w:fldChar w:fldCharType="end"/>
          </w:r>
          <w:r>
            <w:rPr>
              <w:rFonts w:ascii="Times New Roman" w:eastAsia="Times New Roman"/>
            </w:rPr>
            <w:fldChar w:fldCharType="end"/>
          </w:r>
        </w:p>
        <w:p>
          <w:pPr>
            <w:pStyle w:val="12"/>
            <w:tabs>
              <w:tab w:val="right" w:leader="dot" w:pos="9210"/>
            </w:tabs>
          </w:pPr>
          <w:r>
            <w:rPr>
              <w:rFonts w:ascii="Times New Roman" w:eastAsia="Times New Roman"/>
            </w:rPr>
            <w:fldChar w:fldCharType="begin"/>
          </w:r>
          <w:r>
            <w:rPr>
              <w:rFonts w:ascii="Times New Roman" w:eastAsia="Times New Roman"/>
            </w:rPr>
            <w:instrText xml:space="preserve"> HYPERLINK \l _Toc16601 </w:instrText>
          </w:r>
          <w:r>
            <w:rPr>
              <w:rFonts w:ascii="Times New Roman" w:eastAsia="Times New Roman"/>
            </w:rPr>
            <w:fldChar w:fldCharType="separate"/>
          </w:r>
          <w:r>
            <w:t>第三章 构建精致高效的空间格局</w:t>
          </w:r>
          <w:r>
            <w:tab/>
          </w:r>
          <w:r>
            <w:fldChar w:fldCharType="begin"/>
          </w:r>
          <w:r>
            <w:instrText xml:space="preserve"> PAGEREF _Toc16601 \h </w:instrText>
          </w:r>
          <w:r>
            <w:fldChar w:fldCharType="separate"/>
          </w:r>
          <w:r>
            <w:t>12</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_Toc11464 </w:instrText>
          </w:r>
          <w:r>
            <w:rPr>
              <w:rFonts w:ascii="Times New Roman" w:eastAsia="Times New Roman"/>
            </w:rPr>
            <w:fldChar w:fldCharType="separate"/>
          </w:r>
          <w:r>
            <w:t>第一节 构建“一区、一轴、一圈”的空间结构</w:t>
          </w:r>
          <w:r>
            <w:tab/>
          </w:r>
          <w:r>
            <w:fldChar w:fldCharType="begin"/>
          </w:r>
          <w:r>
            <w:instrText xml:space="preserve"> PAGEREF _Toc11464 \h </w:instrText>
          </w:r>
          <w:r>
            <w:fldChar w:fldCharType="separate"/>
          </w:r>
          <w:r>
            <w:t>12</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_Toc1367 </w:instrText>
          </w:r>
          <w:r>
            <w:rPr>
              <w:rFonts w:ascii="Times New Roman" w:eastAsia="Times New Roman"/>
            </w:rPr>
            <w:fldChar w:fldCharType="separate"/>
          </w:r>
          <w:r>
            <w:rPr>
              <w:rFonts w:hint="eastAsia"/>
            </w:rPr>
            <w:t xml:space="preserve">第二节 </w:t>
          </w:r>
          <w:r>
            <w:t>打造融合互</w:t>
          </w:r>
          <w:r>
            <w:rPr>
              <w:rFonts w:hint="eastAsia"/>
              <w:lang w:val="en-US" w:eastAsia="zh-CN"/>
            </w:rPr>
            <w:t>通</w:t>
          </w:r>
          <w:r>
            <w:t>的</w:t>
          </w:r>
          <w:r>
            <w:rPr>
              <w:rFonts w:hint="eastAsia"/>
              <w:lang w:val="en-US" w:eastAsia="zh-CN"/>
            </w:rPr>
            <w:t>非遗旅游线路</w:t>
          </w:r>
          <w:r>
            <w:tab/>
          </w:r>
          <w:r>
            <w:fldChar w:fldCharType="begin"/>
          </w:r>
          <w:r>
            <w:instrText xml:space="preserve"> PAGEREF _Toc1367 \h </w:instrText>
          </w:r>
          <w:r>
            <w:fldChar w:fldCharType="separate"/>
          </w:r>
          <w:r>
            <w:t>14</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_Toc9798 </w:instrText>
          </w:r>
          <w:r>
            <w:rPr>
              <w:rFonts w:ascii="Times New Roman" w:eastAsia="Times New Roman"/>
            </w:rPr>
            <w:fldChar w:fldCharType="separate"/>
          </w:r>
          <w:r>
            <w:t xml:space="preserve">第三节 </w:t>
          </w:r>
          <w:r>
            <w:rPr>
              <w:rFonts w:hint="eastAsia"/>
            </w:rPr>
            <w:t>打造人本慢行生活旅游圈</w:t>
          </w:r>
          <w:r>
            <w:tab/>
          </w:r>
          <w:r>
            <w:fldChar w:fldCharType="begin"/>
          </w:r>
          <w:r>
            <w:instrText xml:space="preserve"> PAGEREF _Toc9798 \h </w:instrText>
          </w:r>
          <w:r>
            <w:fldChar w:fldCharType="separate"/>
          </w:r>
          <w:r>
            <w:t>15</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_Toc1173 </w:instrText>
          </w:r>
          <w:r>
            <w:rPr>
              <w:rFonts w:ascii="Times New Roman" w:eastAsia="Times New Roman"/>
            </w:rPr>
            <w:fldChar w:fldCharType="separate"/>
          </w:r>
          <w:r>
            <w:t>第</w:t>
          </w:r>
          <w:r>
            <w:rPr>
              <w:rFonts w:hint="eastAsia"/>
              <w:lang w:val="en-US" w:eastAsia="zh-CN"/>
            </w:rPr>
            <w:t>四</w:t>
          </w:r>
          <w:r>
            <w:t>节 构建可持续的城市支撑体系</w:t>
          </w:r>
          <w:r>
            <w:tab/>
          </w:r>
          <w:r>
            <w:fldChar w:fldCharType="begin"/>
          </w:r>
          <w:r>
            <w:instrText xml:space="preserve"> PAGEREF _Toc1173 \h </w:instrText>
          </w:r>
          <w:r>
            <w:fldChar w:fldCharType="separate"/>
          </w:r>
          <w:r>
            <w:t>18</w:t>
          </w:r>
          <w:r>
            <w:fldChar w:fldCharType="end"/>
          </w:r>
          <w:r>
            <w:rPr>
              <w:rFonts w:ascii="Times New Roman" w:eastAsia="Times New Roman"/>
            </w:rPr>
            <w:fldChar w:fldCharType="end"/>
          </w:r>
        </w:p>
        <w:p>
          <w:pPr>
            <w:pStyle w:val="12"/>
            <w:tabs>
              <w:tab w:val="right" w:leader="dot" w:pos="9210"/>
            </w:tabs>
          </w:pPr>
          <w:r>
            <w:rPr>
              <w:rFonts w:ascii="Times New Roman" w:eastAsia="Times New Roman"/>
            </w:rPr>
            <w:fldChar w:fldCharType="begin"/>
          </w:r>
          <w:r>
            <w:rPr>
              <w:rFonts w:ascii="Times New Roman" w:eastAsia="Times New Roman"/>
            </w:rPr>
            <w:instrText xml:space="preserve"> HYPERLINK \l _Toc9089 </w:instrText>
          </w:r>
          <w:r>
            <w:rPr>
              <w:rFonts w:ascii="Times New Roman" w:eastAsia="Times New Roman"/>
            </w:rPr>
            <w:fldChar w:fldCharType="separate"/>
          </w:r>
          <w:r>
            <w:t>第四章 构造</w:t>
          </w:r>
          <w:r>
            <w:rPr>
              <w:rFonts w:hint="eastAsia"/>
              <w:lang w:val="en-US" w:eastAsia="zh-CN"/>
            </w:rPr>
            <w:t>济南古城（明府城片区）业态</w:t>
          </w:r>
          <w:r>
            <w:t>体系</w:t>
          </w:r>
          <w:r>
            <w:tab/>
          </w:r>
          <w:r>
            <w:fldChar w:fldCharType="begin"/>
          </w:r>
          <w:r>
            <w:instrText xml:space="preserve"> PAGEREF _Toc9089 \h </w:instrText>
          </w:r>
          <w:r>
            <w:fldChar w:fldCharType="separate"/>
          </w:r>
          <w:r>
            <w:t>21</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_Toc24999 </w:instrText>
          </w:r>
          <w:r>
            <w:rPr>
              <w:rFonts w:ascii="Times New Roman" w:eastAsia="Times New Roman"/>
            </w:rPr>
            <w:fldChar w:fldCharType="separate"/>
          </w:r>
          <w:r>
            <w:t xml:space="preserve">第一节 </w:t>
          </w:r>
          <w:r>
            <w:rPr>
              <w:rFonts w:hint="eastAsia"/>
              <w:lang w:val="en-US" w:eastAsia="zh-CN"/>
            </w:rPr>
            <w:t>引入业态正面清单</w:t>
          </w:r>
          <w:r>
            <w:tab/>
          </w:r>
          <w:r>
            <w:fldChar w:fldCharType="begin"/>
          </w:r>
          <w:r>
            <w:instrText xml:space="preserve"> PAGEREF _Toc24999 \h </w:instrText>
          </w:r>
          <w:r>
            <w:fldChar w:fldCharType="separate"/>
          </w:r>
          <w:r>
            <w:t>21</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_Toc15655 </w:instrText>
          </w:r>
          <w:r>
            <w:rPr>
              <w:rFonts w:ascii="Times New Roman" w:eastAsia="Times New Roman"/>
            </w:rPr>
            <w:fldChar w:fldCharType="separate"/>
          </w:r>
          <w:r>
            <w:t xml:space="preserve">第二节 </w:t>
          </w:r>
          <w:r>
            <w:rPr>
              <w:rFonts w:hint="eastAsia"/>
              <w:lang w:val="en-US" w:eastAsia="zh-CN"/>
            </w:rPr>
            <w:t>引入业态负面清单</w:t>
          </w:r>
          <w:r>
            <w:tab/>
          </w:r>
          <w:r>
            <w:fldChar w:fldCharType="begin"/>
          </w:r>
          <w:r>
            <w:instrText xml:space="preserve"> PAGEREF _Toc15655 \h </w:instrText>
          </w:r>
          <w:r>
            <w:fldChar w:fldCharType="separate"/>
          </w:r>
          <w:r>
            <w:t>22</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_Toc29888 </w:instrText>
          </w:r>
          <w:r>
            <w:rPr>
              <w:rFonts w:ascii="Times New Roman" w:eastAsia="Times New Roman"/>
            </w:rPr>
            <w:fldChar w:fldCharType="separate"/>
          </w:r>
          <w:r>
            <w:t xml:space="preserve">第三节 </w:t>
          </w:r>
          <w:r>
            <w:rPr>
              <w:rFonts w:hint="eastAsia"/>
              <w:lang w:val="en-US" w:eastAsia="zh-CN"/>
            </w:rPr>
            <w:t>打造</w:t>
          </w:r>
          <w:r>
            <w:t>高品质的生活服务业</w:t>
          </w:r>
          <w:r>
            <w:rPr>
              <w:rFonts w:hint="eastAsia"/>
              <w:lang w:val="en-US" w:eastAsia="zh-CN"/>
            </w:rPr>
            <w:t>态</w:t>
          </w:r>
          <w:r>
            <w:tab/>
          </w:r>
          <w:r>
            <w:fldChar w:fldCharType="begin"/>
          </w:r>
          <w:r>
            <w:instrText xml:space="preserve"> PAGEREF _Toc29888 \h </w:instrText>
          </w:r>
          <w:r>
            <w:fldChar w:fldCharType="separate"/>
          </w:r>
          <w:r>
            <w:t>23</w:t>
          </w:r>
          <w:r>
            <w:fldChar w:fldCharType="end"/>
          </w:r>
          <w:r>
            <w:rPr>
              <w:rFonts w:ascii="Times New Roman" w:eastAsia="Times New Roman"/>
            </w:rPr>
            <w:fldChar w:fldCharType="end"/>
          </w:r>
        </w:p>
        <w:p>
          <w:pPr>
            <w:pStyle w:val="12"/>
            <w:tabs>
              <w:tab w:val="right" w:leader="dot" w:pos="9210"/>
            </w:tabs>
          </w:pPr>
          <w:r>
            <w:rPr>
              <w:rFonts w:ascii="Times New Roman" w:eastAsia="Times New Roman"/>
            </w:rPr>
            <w:fldChar w:fldCharType="begin"/>
          </w:r>
          <w:r>
            <w:rPr>
              <w:rFonts w:ascii="Times New Roman" w:eastAsia="Times New Roman"/>
            </w:rPr>
            <w:instrText xml:space="preserve"> HYPERLINK \l _Toc3034 </w:instrText>
          </w:r>
          <w:r>
            <w:rPr>
              <w:rFonts w:ascii="Times New Roman" w:eastAsia="Times New Roman"/>
            </w:rPr>
            <w:fldChar w:fldCharType="separate"/>
          </w:r>
          <w:r>
            <w:t>第</w:t>
          </w:r>
          <w:r>
            <w:rPr>
              <w:rFonts w:hint="eastAsia"/>
              <w:lang w:val="en-US" w:eastAsia="zh-CN"/>
            </w:rPr>
            <w:t>五</w:t>
          </w:r>
          <w:r>
            <w:t>章 塑造</w:t>
          </w:r>
          <w:r>
            <w:rPr>
              <w:rFonts w:hint="eastAsia"/>
              <w:lang w:val="en-US" w:eastAsia="zh-CN"/>
            </w:rPr>
            <w:t>文化街区</w:t>
          </w:r>
          <w:r>
            <w:t>生活场景</w:t>
          </w:r>
          <w:r>
            <w:tab/>
          </w:r>
          <w:r>
            <w:fldChar w:fldCharType="begin"/>
          </w:r>
          <w:r>
            <w:instrText xml:space="preserve"> PAGEREF _Toc3034 \h </w:instrText>
          </w:r>
          <w:r>
            <w:fldChar w:fldCharType="separate"/>
          </w:r>
          <w:r>
            <w:t>25</w:t>
          </w:r>
          <w:r>
            <w:fldChar w:fldCharType="end"/>
          </w:r>
          <w:r>
            <w:rPr>
              <w:rFonts w:ascii="Times New Roman" w:eastAsia="Times New Roman"/>
            </w:rPr>
            <w:fldChar w:fldCharType="end"/>
          </w:r>
        </w:p>
        <w:p>
          <w:pPr>
            <w:pStyle w:val="7"/>
            <w:tabs>
              <w:tab w:val="right" w:pos="3200"/>
              <w:tab w:val="right" w:leader="dot" w:pos="9210"/>
            </w:tabs>
          </w:pPr>
          <w:r>
            <w:rPr>
              <w:rFonts w:ascii="Times New Roman" w:eastAsia="Times New Roman"/>
            </w:rPr>
            <w:fldChar w:fldCharType="begin"/>
          </w:r>
          <w:r>
            <w:rPr>
              <w:rFonts w:ascii="Times New Roman" w:eastAsia="Times New Roman"/>
            </w:rPr>
            <w:instrText xml:space="preserve"> HYPERLINK \l _Toc30799 </w:instrText>
          </w:r>
          <w:r>
            <w:rPr>
              <w:rFonts w:ascii="Times New Roman" w:eastAsia="Times New Roman"/>
            </w:rPr>
            <w:fldChar w:fldCharType="separate"/>
          </w:r>
          <w:r>
            <w:t>第一节</w:t>
          </w:r>
          <w:r>
            <w:tab/>
          </w:r>
          <w:r>
            <w:t>建设全方位智慧</w:t>
          </w:r>
          <w:r>
            <w:rPr>
              <w:rFonts w:hint="eastAsia"/>
              <w:lang w:val="en-US" w:eastAsia="zh-CN"/>
            </w:rPr>
            <w:t>街区</w:t>
          </w:r>
          <w:r>
            <w:tab/>
          </w:r>
          <w:r>
            <w:fldChar w:fldCharType="begin"/>
          </w:r>
          <w:r>
            <w:instrText xml:space="preserve"> PAGEREF _Toc30799 \h </w:instrText>
          </w:r>
          <w:r>
            <w:fldChar w:fldCharType="separate"/>
          </w:r>
          <w:r>
            <w:t>25</w:t>
          </w:r>
          <w:r>
            <w:fldChar w:fldCharType="end"/>
          </w:r>
          <w:r>
            <w:rPr>
              <w:rFonts w:ascii="Times New Roman" w:eastAsia="Times New Roman"/>
            </w:rPr>
            <w:fldChar w:fldCharType="end"/>
          </w:r>
        </w:p>
        <w:p>
          <w:pPr>
            <w:pStyle w:val="7"/>
            <w:tabs>
              <w:tab w:val="right" w:pos="3200"/>
              <w:tab w:val="right" w:leader="dot" w:pos="9210"/>
            </w:tabs>
          </w:pPr>
          <w:r>
            <w:rPr>
              <w:rFonts w:ascii="Times New Roman" w:eastAsia="Times New Roman"/>
            </w:rPr>
            <w:fldChar w:fldCharType="begin"/>
          </w:r>
          <w:r>
            <w:rPr>
              <w:rFonts w:ascii="Times New Roman" w:eastAsia="Times New Roman"/>
            </w:rPr>
            <w:instrText xml:space="preserve"> HYPERLINK \l _Toc6998 </w:instrText>
          </w:r>
          <w:r>
            <w:rPr>
              <w:rFonts w:ascii="Times New Roman" w:eastAsia="Times New Roman"/>
            </w:rPr>
            <w:fldChar w:fldCharType="separate"/>
          </w:r>
          <w:r>
            <w:t>第二节</w:t>
          </w:r>
          <w:r>
            <w:tab/>
          </w:r>
          <w:r>
            <w:t>营造高品质人居环境</w:t>
          </w:r>
          <w:r>
            <w:tab/>
          </w:r>
          <w:r>
            <w:fldChar w:fldCharType="begin"/>
          </w:r>
          <w:r>
            <w:instrText xml:space="preserve"> PAGEREF _Toc6998 \h </w:instrText>
          </w:r>
          <w:r>
            <w:fldChar w:fldCharType="separate"/>
          </w:r>
          <w:r>
            <w:t>26</w:t>
          </w:r>
          <w:r>
            <w:fldChar w:fldCharType="end"/>
          </w:r>
          <w:r>
            <w:rPr>
              <w:rFonts w:ascii="Times New Roman" w:eastAsia="Times New Roman"/>
            </w:rPr>
            <w:fldChar w:fldCharType="end"/>
          </w:r>
        </w:p>
        <w:p>
          <w:pPr>
            <w:pStyle w:val="7"/>
            <w:tabs>
              <w:tab w:val="right" w:pos="3200"/>
              <w:tab w:val="right" w:leader="dot" w:pos="9210"/>
            </w:tabs>
          </w:pPr>
          <w:r>
            <w:rPr>
              <w:rFonts w:ascii="Times New Roman" w:eastAsia="Times New Roman"/>
            </w:rPr>
            <w:fldChar w:fldCharType="begin"/>
          </w:r>
          <w:r>
            <w:rPr>
              <w:rFonts w:ascii="Times New Roman" w:eastAsia="Times New Roman"/>
            </w:rPr>
            <w:instrText xml:space="preserve"> HYPERLINK \l _Toc16385 </w:instrText>
          </w:r>
          <w:r>
            <w:rPr>
              <w:rFonts w:ascii="Times New Roman" w:eastAsia="Times New Roman"/>
            </w:rPr>
            <w:fldChar w:fldCharType="separate"/>
          </w:r>
          <w:r>
            <w:t>第三节</w:t>
          </w:r>
          <w:r>
            <w:tab/>
          </w:r>
          <w:r>
            <w:rPr>
              <w:rFonts w:hint="eastAsia"/>
              <w:lang w:val="en-US" w:eastAsia="zh-CN"/>
            </w:rPr>
            <w:t>保护恢复泉水</w:t>
          </w:r>
          <w:r>
            <w:t>生态环境</w:t>
          </w:r>
          <w:r>
            <w:tab/>
          </w:r>
          <w:r>
            <w:fldChar w:fldCharType="begin"/>
          </w:r>
          <w:r>
            <w:instrText xml:space="preserve"> PAGEREF _Toc16385 \h </w:instrText>
          </w:r>
          <w:r>
            <w:fldChar w:fldCharType="separate"/>
          </w:r>
          <w:r>
            <w:t>27</w:t>
          </w:r>
          <w:r>
            <w:fldChar w:fldCharType="end"/>
          </w:r>
          <w:r>
            <w:rPr>
              <w:rFonts w:ascii="Times New Roman" w:eastAsia="Times New Roman"/>
            </w:rPr>
            <w:fldChar w:fldCharType="end"/>
          </w:r>
        </w:p>
        <w:p>
          <w:pPr>
            <w:pStyle w:val="7"/>
            <w:tabs>
              <w:tab w:val="right" w:pos="3200"/>
              <w:tab w:val="right" w:leader="dot" w:pos="9210"/>
            </w:tabs>
          </w:pPr>
          <w:r>
            <w:rPr>
              <w:rFonts w:ascii="Times New Roman" w:eastAsia="Times New Roman"/>
            </w:rPr>
            <w:fldChar w:fldCharType="begin"/>
          </w:r>
          <w:r>
            <w:rPr>
              <w:rFonts w:ascii="Times New Roman" w:eastAsia="Times New Roman"/>
            </w:rPr>
            <w:instrText xml:space="preserve"> HYPERLINK \l _Toc5102 </w:instrText>
          </w:r>
          <w:r>
            <w:rPr>
              <w:rFonts w:ascii="Times New Roman" w:eastAsia="Times New Roman"/>
            </w:rPr>
            <w:fldChar w:fldCharType="separate"/>
          </w:r>
          <w:r>
            <w:t>第</w:t>
          </w:r>
          <w:r>
            <w:rPr>
              <w:rFonts w:hint="eastAsia"/>
              <w:lang w:val="en-US" w:eastAsia="zh-CN"/>
            </w:rPr>
            <w:t>四</w:t>
          </w:r>
          <w:r>
            <w:t>节</w:t>
          </w:r>
          <w:r>
            <w:tab/>
          </w:r>
          <w:r>
            <w:t>建设国际化</w:t>
          </w:r>
          <w:r>
            <w:rPr>
              <w:spacing w:val="3"/>
            </w:rPr>
            <w:t>文</w:t>
          </w:r>
          <w:r>
            <w:t>化环境</w:t>
          </w:r>
          <w:r>
            <w:tab/>
          </w:r>
          <w:r>
            <w:fldChar w:fldCharType="begin"/>
          </w:r>
          <w:r>
            <w:instrText xml:space="preserve"> PAGEREF _Toc5102 \h </w:instrText>
          </w:r>
          <w:r>
            <w:fldChar w:fldCharType="separate"/>
          </w:r>
          <w:r>
            <w:t>28</w:t>
          </w:r>
          <w:r>
            <w:fldChar w:fldCharType="end"/>
          </w:r>
          <w:r>
            <w:rPr>
              <w:rFonts w:ascii="Times New Roman" w:eastAsia="Times New Roman"/>
            </w:rPr>
            <w:fldChar w:fldCharType="end"/>
          </w:r>
        </w:p>
        <w:p>
          <w:pPr>
            <w:pStyle w:val="12"/>
            <w:tabs>
              <w:tab w:val="right" w:leader="dot" w:pos="9210"/>
            </w:tabs>
          </w:pPr>
          <w:r>
            <w:rPr>
              <w:rFonts w:ascii="Times New Roman" w:eastAsia="Times New Roman"/>
            </w:rPr>
            <w:fldChar w:fldCharType="begin"/>
          </w:r>
          <w:r>
            <w:rPr>
              <w:rFonts w:ascii="Times New Roman" w:eastAsia="Times New Roman"/>
            </w:rPr>
            <w:instrText xml:space="preserve"> HYPERLINK \l _Toc20687 </w:instrText>
          </w:r>
          <w:r>
            <w:rPr>
              <w:rFonts w:ascii="Times New Roman" w:eastAsia="Times New Roman"/>
            </w:rPr>
            <w:fldChar w:fldCharType="separate"/>
          </w:r>
          <w:r>
            <w:t>第</w:t>
          </w:r>
          <w:r>
            <w:rPr>
              <w:rFonts w:hint="eastAsia"/>
              <w:lang w:val="en-US" w:eastAsia="zh-CN"/>
            </w:rPr>
            <w:t>六</w:t>
          </w:r>
          <w:r>
            <w:t>章 保障措施</w:t>
          </w:r>
          <w:r>
            <w:tab/>
          </w:r>
          <w:r>
            <w:fldChar w:fldCharType="begin"/>
          </w:r>
          <w:r>
            <w:instrText xml:space="preserve"> PAGEREF _Toc20687 \h </w:instrText>
          </w:r>
          <w:r>
            <w:fldChar w:fldCharType="separate"/>
          </w:r>
          <w:r>
            <w:t>30</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_Toc13535 </w:instrText>
          </w:r>
          <w:r>
            <w:rPr>
              <w:rFonts w:ascii="Times New Roman" w:eastAsia="Times New Roman"/>
            </w:rPr>
            <w:fldChar w:fldCharType="separate"/>
          </w:r>
          <w:r>
            <w:rPr>
              <w:rFonts w:hint="eastAsia"/>
            </w:rPr>
            <w:t xml:space="preserve">第一节 </w:t>
          </w:r>
          <w:r>
            <w:t>创新组织实施机制</w:t>
          </w:r>
          <w:r>
            <w:tab/>
          </w:r>
          <w:r>
            <w:fldChar w:fldCharType="begin"/>
          </w:r>
          <w:r>
            <w:instrText xml:space="preserve"> PAGEREF _Toc13535 \h </w:instrText>
          </w:r>
          <w:r>
            <w:fldChar w:fldCharType="separate"/>
          </w:r>
          <w:r>
            <w:t>30</w:t>
          </w:r>
          <w:r>
            <w:fldChar w:fldCharType="end"/>
          </w:r>
          <w:r>
            <w:rPr>
              <w:rFonts w:ascii="Times New Roman" w:eastAsia="Times New Roman"/>
            </w:rPr>
            <w:fldChar w:fldCharType="end"/>
          </w:r>
        </w:p>
        <w:p>
          <w:pPr>
            <w:pStyle w:val="7"/>
            <w:tabs>
              <w:tab w:val="right" w:leader="dot" w:pos="9210"/>
            </w:tabs>
          </w:pPr>
          <w:r>
            <w:rPr>
              <w:rFonts w:ascii="Times New Roman" w:eastAsia="Times New Roman"/>
            </w:rPr>
            <w:fldChar w:fldCharType="begin"/>
          </w:r>
          <w:r>
            <w:rPr>
              <w:rFonts w:ascii="Times New Roman" w:eastAsia="Times New Roman"/>
            </w:rPr>
            <w:instrText xml:space="preserve"> HYPERLINK \l _Toc10884 </w:instrText>
          </w:r>
          <w:r>
            <w:rPr>
              <w:rFonts w:ascii="Times New Roman" w:eastAsia="Times New Roman"/>
            </w:rPr>
            <w:fldChar w:fldCharType="separate"/>
          </w:r>
          <w:r>
            <w:rPr>
              <w:spacing w:val="3"/>
            </w:rPr>
            <w:t>第二节 强化全面政策支持</w:t>
          </w:r>
          <w:r>
            <w:tab/>
          </w:r>
          <w:r>
            <w:fldChar w:fldCharType="begin"/>
          </w:r>
          <w:r>
            <w:instrText xml:space="preserve"> PAGEREF _Toc10884 \h </w:instrText>
          </w:r>
          <w:r>
            <w:fldChar w:fldCharType="separate"/>
          </w:r>
          <w:r>
            <w:t>32</w:t>
          </w:r>
          <w:r>
            <w:fldChar w:fldCharType="end"/>
          </w:r>
          <w:r>
            <w:rPr>
              <w:rFonts w:ascii="Times New Roman" w:eastAsia="Times New Roman"/>
            </w:rPr>
            <w:fldChar w:fldCharType="end"/>
          </w:r>
        </w:p>
        <w:p>
          <w:pPr>
            <w:spacing w:after="0"/>
            <w:rPr>
              <w:rFonts w:ascii="Times New Roman" w:eastAsia="Times New Roman"/>
            </w:rPr>
            <w:sectPr>
              <w:footerReference r:id="rId5" w:type="default"/>
              <w:pgSz w:w="11910" w:h="16840"/>
              <w:pgMar w:top="1240" w:right="1180" w:bottom="1180" w:left="1520" w:header="0" w:footer="988" w:gutter="0"/>
              <w:pgNumType w:start="1"/>
              <w:cols w:space="720" w:num="1"/>
            </w:sectPr>
          </w:pPr>
          <w:r>
            <w:rPr>
              <w:rFonts w:ascii="Times New Roman" w:eastAsia="Times New Roman"/>
            </w:rPr>
            <w:fldChar w:fldCharType="end"/>
          </w:r>
        </w:p>
      </w:sdtContent>
    </w:sdt>
    <w:p>
      <w:pPr>
        <w:tabs>
          <w:tab w:val="left" w:leader="dot" w:pos="8446"/>
        </w:tabs>
        <w:spacing w:before="0"/>
        <w:ind w:left="393" w:right="0" w:firstLine="0"/>
        <w:jc w:val="left"/>
        <w:rPr>
          <w:rFonts w:ascii="Times New Roman" w:eastAsia="Times New Roman"/>
          <w:sz w:val="24"/>
        </w:rPr>
      </w:pPr>
    </w:p>
    <w:p>
      <w:pPr>
        <w:spacing w:after="0"/>
        <w:jc w:val="left"/>
        <w:rPr>
          <w:rFonts w:ascii="Times New Roman" w:eastAsia="Times New Roman"/>
          <w:sz w:val="24"/>
        </w:rPr>
      </w:pPr>
    </w:p>
    <w:p>
      <w:pPr>
        <w:pStyle w:val="3"/>
        <w:tabs>
          <w:tab w:val="left" w:pos="720"/>
        </w:tabs>
        <w:spacing w:before="48"/>
      </w:pPr>
      <w:bookmarkStart w:id="0" w:name="_Toc3954"/>
      <w:r>
        <w:t>前</w:t>
      </w:r>
      <w:r>
        <w:tab/>
      </w:r>
      <w:r>
        <w:t>言</w:t>
      </w:r>
      <w:bookmarkEnd w:id="0"/>
    </w:p>
    <w:p>
      <w:pPr>
        <w:pStyle w:val="6"/>
        <w:spacing w:before="18"/>
        <w:rPr>
          <w:rFonts w:ascii="微软雅黑"/>
          <w:b/>
          <w:sz w:val="56"/>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512" w:firstLine="640" w:firstLineChars="200"/>
        <w:jc w:val="both"/>
        <w:textAlignment w:val="auto"/>
        <w:rPr>
          <w:sz w:val="32"/>
          <w:szCs w:val="32"/>
        </w:rPr>
      </w:pPr>
      <w:r>
        <w:rPr>
          <w:sz w:val="32"/>
          <w:szCs w:val="32"/>
        </w:rPr>
        <w:t>黄河流域生态保护和高质量发展上升为重大国家战略，这是以习近平同志为核心的党中央</w:t>
      </w:r>
      <w:r>
        <w:rPr>
          <w:rFonts w:hint="eastAsia"/>
          <w:sz w:val="32"/>
          <w:szCs w:val="32"/>
          <w:lang w:eastAsia="zh-CN"/>
        </w:rPr>
        <w:t>作出</w:t>
      </w:r>
      <w:r>
        <w:rPr>
          <w:sz w:val="32"/>
          <w:szCs w:val="32"/>
        </w:rPr>
        <w:t>的重大战略决策。当前，外部发展形势正处于深刻变化之中，黄河流域生态保护和高质量发展迫切需要具有活力、动力和创新力的龙头带动，深化国际科创合作，打造高质量发展典范，以点及面、引领示范，着力增强面向</w:t>
      </w:r>
      <w:r>
        <w:rPr>
          <w:rFonts w:hint="eastAsia"/>
          <w:sz w:val="32"/>
          <w:szCs w:val="32"/>
          <w:lang w:val="en-US" w:eastAsia="zh-CN"/>
        </w:rPr>
        <w:t>沿黄城市群</w:t>
      </w:r>
      <w:r>
        <w:rPr>
          <w:sz w:val="32"/>
          <w:szCs w:val="32"/>
        </w:rPr>
        <w:t>的带动力、面向全国的辐射力、面向全球的竞争力。</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44" w:firstLine="640" w:firstLineChars="200"/>
        <w:textAlignment w:val="auto"/>
        <w:rPr>
          <w:sz w:val="32"/>
          <w:szCs w:val="32"/>
        </w:rPr>
      </w:pPr>
      <w:r>
        <w:rPr>
          <w:rFonts w:hint="eastAsia"/>
          <w:sz w:val="32"/>
          <w:szCs w:val="32"/>
          <w:lang w:val="en-US" w:eastAsia="zh-CN"/>
        </w:rPr>
        <w:t>济南古城（明府城片区）</w:t>
      </w:r>
      <w:r>
        <w:rPr>
          <w:sz w:val="32"/>
          <w:szCs w:val="32"/>
        </w:rPr>
        <w:t>位于</w:t>
      </w:r>
      <w:r>
        <w:rPr>
          <w:rFonts w:hint="eastAsia"/>
          <w:sz w:val="32"/>
          <w:szCs w:val="32"/>
          <w:lang w:val="en-US" w:eastAsia="zh-CN"/>
        </w:rPr>
        <w:t>济南</w:t>
      </w:r>
      <w:r>
        <w:rPr>
          <w:sz w:val="32"/>
          <w:szCs w:val="32"/>
        </w:rPr>
        <w:t>市</w:t>
      </w:r>
      <w:r>
        <w:rPr>
          <w:rFonts w:hint="eastAsia"/>
          <w:sz w:val="32"/>
          <w:szCs w:val="32"/>
          <w:lang w:val="en-US" w:eastAsia="zh-CN"/>
        </w:rPr>
        <w:t>泉城特色标志区的</w:t>
      </w:r>
      <w:r>
        <w:rPr>
          <w:sz w:val="32"/>
          <w:szCs w:val="32"/>
        </w:rPr>
        <w:t>核心</w:t>
      </w:r>
      <w:r>
        <w:rPr>
          <w:rFonts w:hint="eastAsia"/>
          <w:sz w:val="32"/>
          <w:szCs w:val="32"/>
          <w:lang w:val="en-US" w:eastAsia="zh-CN"/>
        </w:rPr>
        <w:t>区域</w:t>
      </w:r>
      <w:r>
        <w:rPr>
          <w:sz w:val="32"/>
          <w:szCs w:val="32"/>
        </w:rPr>
        <w:t>，是</w:t>
      </w:r>
      <w:r>
        <w:rPr>
          <w:rFonts w:hint="eastAsia"/>
          <w:sz w:val="32"/>
          <w:szCs w:val="32"/>
          <w:lang w:val="en-US" w:eastAsia="zh-CN"/>
        </w:rPr>
        <w:t>济南市“中优”发展战略</w:t>
      </w:r>
      <w:r>
        <w:rPr>
          <w:sz w:val="32"/>
          <w:szCs w:val="32"/>
        </w:rPr>
        <w:t>的标志性工程之一，以保护和更新为遵循，以突出历史文化和泉城风貌为核心，以“泉·城文化景观申遗”为抓手，凸显泉城特色，展现泉城魅力，打造“宜居、宜业、宜行、宜乐、宜游”的老城区。</w:t>
      </w:r>
      <w:r>
        <w:rPr>
          <w:rFonts w:hint="eastAsia"/>
          <w:sz w:val="32"/>
          <w:szCs w:val="32"/>
          <w:lang w:val="en-US" w:eastAsia="zh-CN"/>
        </w:rPr>
        <w:t>是济南市</w:t>
      </w:r>
      <w:r>
        <w:rPr>
          <w:rFonts w:hint="eastAsia"/>
          <w:sz w:val="32"/>
          <w:szCs w:val="32"/>
        </w:rPr>
        <w:t>作为黄河流域中心城市，主动融入黄河战略，加快创新发展、开放发展、集约发展和生态发展，奏响“黄河大合唱”济南乐章</w:t>
      </w:r>
      <w:r>
        <w:rPr>
          <w:rFonts w:hint="eastAsia"/>
          <w:sz w:val="32"/>
          <w:szCs w:val="32"/>
          <w:lang w:val="en-US" w:eastAsia="zh-CN"/>
        </w:rPr>
        <w:t>的新实践、新探索。</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515" w:firstLine="640" w:firstLineChars="200"/>
        <w:jc w:val="both"/>
        <w:textAlignment w:val="auto"/>
        <w:rPr>
          <w:sz w:val="32"/>
          <w:szCs w:val="32"/>
        </w:rPr>
      </w:pPr>
      <w:r>
        <w:rPr>
          <w:sz w:val="32"/>
          <w:szCs w:val="32"/>
        </w:rPr>
        <w:t>根据国家和</w:t>
      </w:r>
      <w:r>
        <w:rPr>
          <w:rFonts w:hint="eastAsia"/>
          <w:sz w:val="32"/>
          <w:szCs w:val="32"/>
          <w:lang w:val="en-US" w:eastAsia="zh-CN"/>
        </w:rPr>
        <w:t>山东省</w:t>
      </w:r>
      <w:r>
        <w:rPr>
          <w:sz w:val="32"/>
          <w:szCs w:val="32"/>
        </w:rPr>
        <w:t>有关规划和文件精神，特编制本规划。本规划是指导</w:t>
      </w:r>
      <w:r>
        <w:rPr>
          <w:rFonts w:hint="eastAsia"/>
          <w:sz w:val="32"/>
          <w:szCs w:val="32"/>
          <w:lang w:val="en-US" w:eastAsia="zh-CN"/>
        </w:rPr>
        <w:t>济南古城（明府城片区）</w:t>
      </w:r>
      <w:r>
        <w:rPr>
          <w:sz w:val="32"/>
          <w:szCs w:val="32"/>
        </w:rPr>
        <w:t>发展的行动纲领和布局重大建设项目的重要依据。</w:t>
      </w:r>
    </w:p>
    <w:p>
      <w:pPr>
        <w:spacing w:after="0" w:line="364" w:lineRule="auto"/>
        <w:jc w:val="both"/>
        <w:sectPr>
          <w:footerReference r:id="rId6" w:type="default"/>
          <w:pgSz w:w="11910" w:h="16840"/>
          <w:pgMar w:top="1580" w:right="1180" w:bottom="1300" w:left="1520" w:header="0" w:footer="1116" w:gutter="0"/>
          <w:pgNumType w:start="1"/>
          <w:cols w:space="720" w:num="1"/>
        </w:sectPr>
      </w:pPr>
    </w:p>
    <w:p>
      <w:pPr>
        <w:pStyle w:val="3"/>
        <w:spacing w:line="640" w:lineRule="exact"/>
        <w:ind w:right="732"/>
      </w:pPr>
      <w:bookmarkStart w:id="1" w:name="_Toc29843"/>
      <w:r>
        <w:t>第一章 背景和意义</w:t>
      </w:r>
      <w:bookmarkEnd w:id="1"/>
    </w:p>
    <w:p>
      <w:pPr>
        <w:pStyle w:val="6"/>
        <w:spacing w:before="12"/>
        <w:rPr>
          <w:rFonts w:ascii="微软雅黑"/>
          <w:b/>
          <w:sz w:val="24"/>
        </w:rPr>
      </w:pPr>
    </w:p>
    <w:p>
      <w:pPr>
        <w:pStyle w:val="4"/>
        <w:numPr>
          <w:ilvl w:val="0"/>
          <w:numId w:val="1"/>
        </w:numPr>
      </w:pPr>
      <w:bookmarkStart w:id="2" w:name="_Toc25417"/>
      <w:r>
        <w:t>发展背景</w:t>
      </w:r>
      <w:bookmarkEnd w:id="2"/>
    </w:p>
    <w:p>
      <w:pPr>
        <w:numPr>
          <w:ilvl w:val="0"/>
          <w:numId w:val="0"/>
        </w:numPr>
        <w:ind w:right="0" w:rightChars="0"/>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rFonts w:hint="eastAsia"/>
          <w:sz w:val="32"/>
          <w:szCs w:val="32"/>
        </w:rPr>
      </w:pPr>
      <w:r>
        <w:rPr>
          <w:rFonts w:hint="eastAsia"/>
          <w:sz w:val="32"/>
          <w:szCs w:val="32"/>
        </w:rPr>
        <w:t>城市更新是通过对老旧城区的综合改造，对工业、商业片区的产业激活和价值重构，从而达到提振城市产业、激发城市活力、提高城市品质、改善居住环境的目的。城市更新主要包括两方面的内容：一方面是对客观存在实体（建筑物等硬件）的改造；另一方面是对各种生态环境、空间环境、文化环境、视觉环境、游憩环境等的改造与延续。城市更新的目标是针对解决城市中影响甚至阻碍城市发展的城市问题，既包含环境方面，也包括经济和社会方面。近年来，在社会经济发展影响、国家政策的指引下，地方的城市更新工作愈加重要与紧迫，城市更新的作用日益显著。老城区作为城市发展的活化石，保护好其原有特色有重要意义。中国四十年来的快速城镇化发展和城市扩张建设取得了举世瞩目的成就，但在生态环境、基础设施、公共服务、城市文化、城市品质等方面留下了大量的历史欠账。如何在保护好老城区的同时寻找一个新的活力点，使其自身的价值和活力重新得到激活，能够在相对竞争激励的城市发展中有属于自己特有的一席之地，是当前社会经济发展要解决的重要问题。</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sz w:val="32"/>
          <w:szCs w:val="32"/>
        </w:rPr>
      </w:pPr>
      <w:r>
        <w:rPr>
          <w:rFonts w:hint="eastAsia"/>
          <w:sz w:val="32"/>
          <w:szCs w:val="32"/>
        </w:rPr>
        <w:t>2016年2月，中共中央《关于进一步加强城市规划建设管理工作的若干意见》中明确要求，有序实施城市修补和有机更新。从国家顶层设计到地方落实，城市更新承载着转变经济发展方式的需要、集约节约用地的要求，成为实现新时代新作为的有效途径。</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sz w:val="32"/>
          <w:szCs w:val="32"/>
        </w:rPr>
      </w:pPr>
      <w:r>
        <w:rPr>
          <w:rFonts w:hint="eastAsia"/>
          <w:sz w:val="32"/>
          <w:szCs w:val="32"/>
        </w:rPr>
        <w:t>2016年11月，国土部印发《关于深入推进城镇低效用地再开发的指导意见</w:t>
      </w:r>
      <w:r>
        <w:rPr>
          <w:rFonts w:hint="eastAsia"/>
          <w:sz w:val="32"/>
          <w:szCs w:val="32"/>
          <w:lang w:eastAsia="zh-CN"/>
        </w:rPr>
        <w:t>（</w:t>
      </w:r>
      <w:r>
        <w:rPr>
          <w:rFonts w:hint="eastAsia"/>
          <w:sz w:val="32"/>
          <w:szCs w:val="32"/>
        </w:rPr>
        <w:t>试行</w:t>
      </w:r>
      <w:r>
        <w:rPr>
          <w:rFonts w:hint="eastAsia"/>
          <w:sz w:val="32"/>
          <w:szCs w:val="32"/>
          <w:lang w:eastAsia="zh-CN"/>
        </w:rPr>
        <w:t>）</w:t>
      </w:r>
      <w:r>
        <w:rPr>
          <w:rFonts w:hint="eastAsia"/>
          <w:sz w:val="32"/>
          <w:szCs w:val="32"/>
        </w:rPr>
        <w:t>》（国土资发〔2016〕147号），提出力求做到土地集约利用水平明显提高，城镇建设用地有效供给得到增强；城镇用地结构明显优化，产业转型升级逐渐加快，投资消费有效增长；城镇基础设施和公共服务设施明显改善，城镇化质量显著提高，经济社会可持续发展能力不断提升。《指导意见》被称作国家顶层的城市更新政策，科学提出城镇低效用地再开发，不仅有利于推进节约集约用地、缓解土地供需矛盾，而且在优化用地结构布局、推动产业转型升级、促进城镇更新改造等方面将发挥积极作用。</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sz w:val="32"/>
          <w:szCs w:val="32"/>
        </w:rPr>
      </w:pPr>
      <w:r>
        <w:rPr>
          <w:rFonts w:hint="eastAsia"/>
          <w:sz w:val="32"/>
          <w:szCs w:val="32"/>
        </w:rPr>
        <w:t>《国家新型城镇化规划（2014-2020）》、《中共中央国务院关于进一步加强城市规划建设管理工作的若干意见》等国家推动城镇化建设的顶层文件均提出“优化城市空间结构和管理格局，改造提升中心城区功能，按照改造更新与保护修复并重的要求，有序实施城市修补和有机更新，解决老城区环境平直下降、空间秩序混乱、历史</w:t>
      </w:r>
      <w:r>
        <w:rPr>
          <w:rFonts w:hint="eastAsia"/>
          <w:sz w:val="32"/>
          <w:szCs w:val="32"/>
          <w:lang w:eastAsia="zh-CN"/>
        </w:rPr>
        <w:t>文化遗产</w:t>
      </w:r>
      <w:r>
        <w:rPr>
          <w:rFonts w:hint="eastAsia"/>
          <w:sz w:val="32"/>
          <w:szCs w:val="32"/>
        </w:rPr>
        <w:t>损毁等问题”的明确要求和规划标准。</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sz w:val="32"/>
          <w:szCs w:val="32"/>
        </w:rPr>
      </w:pPr>
      <w:r>
        <w:rPr>
          <w:rFonts w:hint="eastAsia"/>
          <w:sz w:val="32"/>
          <w:szCs w:val="32"/>
        </w:rPr>
        <w:t>2020年11月，党的十九届五中全会通过的《中共中央关于制定国民经济和社会发展第十四个五年规划和二〇三五年远景目标的建议》明确提出实施城市更新行动，推进城市生态修复、功能完善工程，加强城镇老旧小区改造和社区建设。</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rFonts w:hint="eastAsia"/>
          <w:sz w:val="32"/>
          <w:szCs w:val="32"/>
        </w:rPr>
      </w:pPr>
      <w:r>
        <w:rPr>
          <w:rFonts w:hint="eastAsia"/>
          <w:sz w:val="32"/>
          <w:szCs w:val="32"/>
        </w:rPr>
        <w:t>2020年11月，住房和城乡建设部部长王蒙徽撰写《实施城市更新行动》，作为《中共中央关于制定国民经济和社会发展第十四个五年规划和二〇三五年远景目标的建议》辅导读本，提出城市更新主要任务包括：完善城市空间结构、实施城市生态修复和功能完善工程、强化历史文化保护，塑造城市风貌、加强居住社区建设、推进新型城市基础设施建设、加强城镇老旧小区改造、增强城市防洪排涝能力、推进以县城为重要载体的城镇化建设等方面。</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rFonts w:hint="eastAsia"/>
          <w:sz w:val="32"/>
          <w:szCs w:val="32"/>
        </w:rPr>
      </w:pPr>
      <w:r>
        <w:rPr>
          <w:rFonts w:hint="eastAsia"/>
          <w:sz w:val="32"/>
          <w:szCs w:val="32"/>
        </w:rPr>
        <w:t>2020年12月，中央经济工作会议也明确提出，要坚持扩大内需这个战略基点，实施城市更新行动，推进城镇老旧小区改造。</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rFonts w:hint="eastAsia"/>
          <w:sz w:val="32"/>
          <w:szCs w:val="32"/>
        </w:rPr>
      </w:pPr>
      <w:r>
        <w:rPr>
          <w:rFonts w:hint="eastAsia"/>
          <w:sz w:val="32"/>
          <w:szCs w:val="32"/>
        </w:rPr>
        <w:t>城市更新得到党中央领导的高度重视，这是以习近平同志为核心的党中央站在全面建设社会主义现代化国家、实现中华民族伟大复兴中国梦的战略高度，准确研判我国城市发展新形势，对进一步提升城市发展质量作出的重大决策部署，为“十四五”乃至今后一个时期做好城市工作指明了方向，明确了目标任务。</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369" w:firstLine="640" w:firstLineChars="200"/>
        <w:textAlignment w:val="auto"/>
        <w:rPr>
          <w:rFonts w:hint="eastAsia"/>
          <w:sz w:val="32"/>
          <w:szCs w:val="32"/>
        </w:rPr>
      </w:pPr>
      <w:r>
        <w:rPr>
          <w:rFonts w:hint="eastAsia"/>
          <w:sz w:val="32"/>
          <w:szCs w:val="32"/>
        </w:rPr>
        <w:t>根据济南市“十四五”发展主要目标任务，为全面实施“强省会”战略和“中优”战略，加快将济南建设成为“大强美富通”现代化国际大都市，济南市人民政府办公厅、市自然资源和规划局、市住房和城乡建设局等相关部门相继出台一系列以加强历史风貌保护、深入推进城市有机更新为目标的政策文件。济南古城片区作为泉城特色风貌带的核心区域，也是济南“泉﹒城”文化景观申遗的遗产核心区，拥有大量的历史街区与古城遗留，是济南市弥足珍贵、不可再生的财富。根据落实“中优”战略的有关部署，古城片区城市更新将以保护和更新为遵循，以突出历史文化和泉城风貌为核心，以“泉·城”文化景观申遗为抓手，凸显泉城特色，展现泉城魅力，打造宜居、宜业、宜行、宜乐、宜游的老城区。目前，古城片区城市更新项目已申报黄河文化重点项目，将成为落实黄河流域生态保护和高质量发展战略、保护历史建筑和传统肌理、探索以城市更新推动历史文化名城保护的标志性项目。</w:t>
      </w:r>
    </w:p>
    <w:p>
      <w:pPr>
        <w:pStyle w:val="6"/>
        <w:keepNext w:val="0"/>
        <w:keepLines w:val="0"/>
        <w:pageBreakBefore w:val="0"/>
        <w:widowControl w:val="0"/>
        <w:kinsoku/>
        <w:wordWrap/>
        <w:overflowPunct/>
        <w:topLinePunct w:val="0"/>
        <w:autoSpaceDE w:val="0"/>
        <w:autoSpaceDN w:val="0"/>
        <w:bidi w:val="0"/>
        <w:adjustRightInd/>
        <w:snapToGrid/>
        <w:spacing w:line="360" w:lineRule="auto"/>
        <w:ind w:left="181" w:right="369" w:firstLine="601"/>
        <w:textAlignment w:val="auto"/>
        <w:rPr>
          <w:rFonts w:hint="eastAsia"/>
          <w:sz w:val="32"/>
          <w:szCs w:val="32"/>
        </w:rPr>
      </w:pPr>
    </w:p>
    <w:p>
      <w:pPr>
        <w:pStyle w:val="4"/>
        <w:numPr>
          <w:ilvl w:val="0"/>
          <w:numId w:val="1"/>
        </w:numPr>
        <w:ind w:left="0" w:leftChars="0" w:firstLine="0" w:firstLineChars="0"/>
      </w:pPr>
      <w:bookmarkStart w:id="3" w:name="_Toc15436"/>
      <w:r>
        <w:t>重要意义</w:t>
      </w:r>
      <w:bookmarkEnd w:id="3"/>
    </w:p>
    <w:p>
      <w:pPr>
        <w:pStyle w:val="6"/>
        <w:spacing w:before="10"/>
        <w:rPr>
          <w:rFonts w:ascii="宋体"/>
          <w:sz w:val="33"/>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0" w:firstLineChars="200"/>
        <w:jc w:val="both"/>
        <w:textAlignment w:val="auto"/>
        <w:rPr>
          <w:sz w:val="32"/>
          <w:szCs w:val="32"/>
        </w:rPr>
      </w:pPr>
      <w:r>
        <w:rPr>
          <w:rFonts w:ascii="Times New Roman" w:hAnsi="Times New Roman" w:eastAsia="Times New Roman"/>
          <w:b/>
          <w:sz w:val="32"/>
          <w:szCs w:val="32"/>
        </w:rPr>
        <w:t>——</w:t>
      </w:r>
      <w:r>
        <w:rPr>
          <w:b/>
          <w:spacing w:val="4"/>
          <w:sz w:val="32"/>
          <w:szCs w:val="32"/>
        </w:rPr>
        <w:t>推进</w:t>
      </w:r>
      <w:r>
        <w:rPr>
          <w:rFonts w:hint="eastAsia"/>
          <w:b/>
          <w:spacing w:val="4"/>
          <w:sz w:val="32"/>
          <w:szCs w:val="32"/>
          <w:lang w:val="en-US" w:eastAsia="zh-CN"/>
        </w:rPr>
        <w:t>济南古城（明府城片区）</w:t>
      </w:r>
      <w:r>
        <w:rPr>
          <w:b/>
          <w:spacing w:val="4"/>
          <w:sz w:val="32"/>
          <w:szCs w:val="32"/>
        </w:rPr>
        <w:t>建设，</w:t>
      </w:r>
      <w:r>
        <w:rPr>
          <w:rFonts w:hint="eastAsia"/>
          <w:b/>
          <w:spacing w:val="4"/>
          <w:sz w:val="32"/>
          <w:szCs w:val="32"/>
        </w:rPr>
        <w:t>符合国家相关政策要求</w:t>
      </w:r>
      <w:r>
        <w:rPr>
          <w:b/>
          <w:spacing w:val="4"/>
          <w:sz w:val="32"/>
          <w:szCs w:val="32"/>
        </w:rPr>
        <w:t>。</w:t>
      </w:r>
      <w:r>
        <w:rPr>
          <w:rFonts w:hint="eastAsia"/>
          <w:sz w:val="32"/>
          <w:szCs w:val="32"/>
        </w:rPr>
        <w:t>中共中央、国务院《关于进一步加强城市规划建设管理工作的若干意见》提出，有序实施城市修补和有机更新，解决老城区环境品质下降、空间秩序混乱、历史文化遗产损毁等问题，促进建筑物、街道立面、天际线、色彩和环境更加协调、优美。通过维护加固老建筑、修缮历史建筑、完善基础设施等措施，恢复老城区功能和活力。项目通过实施城市更新建设项目，改善当地居民的住居条件和生活环境，提升城市品质，促进城市全面协调可持续发展，符合国家相关政策规划要求。</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4" w:firstLine="608" w:firstLineChars="200"/>
        <w:jc w:val="both"/>
        <w:textAlignment w:val="auto"/>
        <w:rPr>
          <w:sz w:val="32"/>
          <w:szCs w:val="32"/>
        </w:rPr>
      </w:pPr>
      <w:r>
        <w:rPr>
          <w:rFonts w:ascii="Times New Roman" w:hAnsi="Times New Roman" w:eastAsia="Times New Roman"/>
          <w:b/>
          <w:w w:val="95"/>
          <w:sz w:val="32"/>
          <w:szCs w:val="32"/>
        </w:rPr>
        <w:t>——</w:t>
      </w:r>
      <w:r>
        <w:rPr>
          <w:b/>
          <w:spacing w:val="4"/>
          <w:sz w:val="32"/>
          <w:szCs w:val="32"/>
        </w:rPr>
        <w:t>推进</w:t>
      </w:r>
      <w:r>
        <w:rPr>
          <w:rFonts w:hint="eastAsia"/>
          <w:b/>
          <w:spacing w:val="4"/>
          <w:sz w:val="32"/>
          <w:szCs w:val="32"/>
          <w:lang w:val="en-US" w:eastAsia="zh-CN"/>
        </w:rPr>
        <w:t>济南古城（明府城片区）</w:t>
      </w:r>
      <w:r>
        <w:rPr>
          <w:b/>
          <w:spacing w:val="4"/>
          <w:sz w:val="32"/>
          <w:szCs w:val="32"/>
        </w:rPr>
        <w:t>建设，</w:t>
      </w:r>
      <w:r>
        <w:rPr>
          <w:rFonts w:hint="eastAsia"/>
          <w:b/>
          <w:spacing w:val="4"/>
          <w:sz w:val="32"/>
          <w:szCs w:val="32"/>
        </w:rPr>
        <w:t>有利于实现新旧动能转换高质量发展</w:t>
      </w:r>
      <w:r>
        <w:rPr>
          <w:rFonts w:hint="eastAsia"/>
          <w:b/>
          <w:spacing w:val="4"/>
          <w:sz w:val="32"/>
          <w:szCs w:val="32"/>
          <w:lang w:eastAsia="zh-CN"/>
        </w:rPr>
        <w:t>。</w:t>
      </w:r>
      <w:r>
        <w:rPr>
          <w:rFonts w:hint="eastAsia"/>
          <w:sz w:val="32"/>
          <w:szCs w:val="32"/>
        </w:rPr>
        <w:t>城市更新覆盖面广、投资大，项目实施有利于拓展内需、促消费，能够扩大有效投资，努力实现稳增长、调结构，是扩大投资激发内需的重要举措。同时还可以通过外部环境的改造和基础设施的改造、服务设施的健全，带动建筑材料、景观绿化、规划设计等相关产业发展，促进生活服务业发展，是实现新旧动能转换的重要抓手。</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66" w:firstLine="640" w:firstLineChars="200"/>
        <w:textAlignment w:val="auto"/>
        <w:rPr>
          <w:sz w:val="32"/>
          <w:szCs w:val="32"/>
        </w:rPr>
      </w:pPr>
      <w:r>
        <w:rPr>
          <w:rFonts w:ascii="Times New Roman" w:hAnsi="Times New Roman" w:eastAsia="Times New Roman"/>
          <w:b/>
          <w:sz w:val="32"/>
          <w:szCs w:val="32"/>
        </w:rPr>
        <w:t>——</w:t>
      </w:r>
      <w:r>
        <w:rPr>
          <w:b/>
          <w:spacing w:val="4"/>
          <w:sz w:val="32"/>
          <w:szCs w:val="32"/>
        </w:rPr>
        <w:t>推进</w:t>
      </w:r>
      <w:r>
        <w:rPr>
          <w:rFonts w:hint="eastAsia"/>
          <w:b/>
          <w:spacing w:val="4"/>
          <w:sz w:val="32"/>
          <w:szCs w:val="32"/>
          <w:lang w:val="en-US" w:eastAsia="zh-CN"/>
        </w:rPr>
        <w:t>济南古城（明府城片区）</w:t>
      </w:r>
      <w:r>
        <w:rPr>
          <w:b/>
          <w:spacing w:val="4"/>
          <w:sz w:val="32"/>
          <w:szCs w:val="32"/>
        </w:rPr>
        <w:t>建设，</w:t>
      </w:r>
      <w:r>
        <w:rPr>
          <w:rFonts w:hint="eastAsia"/>
          <w:b/>
          <w:spacing w:val="4"/>
          <w:sz w:val="32"/>
          <w:szCs w:val="32"/>
        </w:rPr>
        <w:t>有利于提升济南市“中优”城区形象、促进经济发展</w:t>
      </w:r>
      <w:r>
        <w:rPr>
          <w:b/>
          <w:spacing w:val="4"/>
          <w:sz w:val="32"/>
          <w:szCs w:val="32"/>
        </w:rPr>
        <w:t>。</w:t>
      </w:r>
      <w:r>
        <w:rPr>
          <w:rFonts w:hint="eastAsia"/>
          <w:sz w:val="32"/>
          <w:szCs w:val="32"/>
        </w:rPr>
        <w:t>本项目建设片区内现状主要为居民危旧房，建筑陈旧落后，内外部环境已经跟城市发展非常不协调。地块内现有居住条件比较恶劣，建筑内部配套等居住条件十分不便。项目历史底蕴深厚，但挖掘不够，不能充分释放文旅产业发展内在价值，项目建设片区</w:t>
      </w:r>
      <w:r>
        <w:rPr>
          <w:rFonts w:hint="eastAsia"/>
          <w:sz w:val="32"/>
          <w:szCs w:val="32"/>
          <w:lang w:eastAsia="zh-CN"/>
        </w:rPr>
        <w:t>亟须</w:t>
      </w:r>
      <w:r>
        <w:rPr>
          <w:rFonts w:hint="eastAsia"/>
          <w:sz w:val="32"/>
          <w:szCs w:val="32"/>
        </w:rPr>
        <w:t>改变现状。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66" w:firstLine="640" w:firstLineChars="200"/>
        <w:textAlignment w:val="auto"/>
        <w:rPr>
          <w:sz w:val="32"/>
          <w:szCs w:val="32"/>
        </w:rPr>
      </w:pPr>
      <w:r>
        <w:rPr>
          <w:rFonts w:hint="eastAsia"/>
          <w:sz w:val="32"/>
          <w:szCs w:val="32"/>
        </w:rPr>
        <w:t>本项目根据区域发展规划，重新科学合理构建，营造景观街道，使整个地块面貌焕然一新。项目的建设符合济南市“</w:t>
      </w:r>
      <w:r>
        <w:rPr>
          <w:sz w:val="32"/>
          <w:szCs w:val="32"/>
        </w:rPr>
        <w:t>东强、西兴、南美、北起、中优</w:t>
      </w:r>
      <w:r>
        <w:rPr>
          <w:rFonts w:hint="eastAsia"/>
          <w:sz w:val="32"/>
          <w:szCs w:val="32"/>
        </w:rPr>
        <w:t>”</w:t>
      </w:r>
      <w:r>
        <w:rPr>
          <w:sz w:val="32"/>
          <w:szCs w:val="32"/>
        </w:rPr>
        <w:t>城市发展新格局的战略部署，</w:t>
      </w:r>
      <w:r>
        <w:rPr>
          <w:rFonts w:hint="eastAsia"/>
          <w:sz w:val="32"/>
          <w:szCs w:val="32"/>
        </w:rPr>
        <w:t>有利于</w:t>
      </w:r>
      <w:r>
        <w:rPr>
          <w:sz w:val="32"/>
          <w:szCs w:val="32"/>
        </w:rPr>
        <w:t>打造宜居、宜业、宜行、宜乐、宜游的</w:t>
      </w:r>
      <w:r>
        <w:rPr>
          <w:rFonts w:hint="eastAsia"/>
          <w:sz w:val="32"/>
          <w:szCs w:val="32"/>
        </w:rPr>
        <w:t>济南 “中优”</w:t>
      </w:r>
      <w:r>
        <w:rPr>
          <w:sz w:val="32"/>
          <w:szCs w:val="32"/>
        </w:rPr>
        <w:t>老城区</w:t>
      </w:r>
      <w:r>
        <w:rPr>
          <w:rFonts w:hint="eastAsia"/>
          <w:sz w:val="32"/>
          <w:szCs w:val="32"/>
        </w:rPr>
        <w:t>。项目将显著提升居民居住生活条件、完善城市功能、营造良好的历史文化氛围、提升城区建设形象，促进区域经济社会的协调健康发展。</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70" w:firstLine="640" w:firstLineChars="200"/>
        <w:textAlignment w:val="auto"/>
        <w:rPr>
          <w:sz w:val="32"/>
          <w:szCs w:val="32"/>
        </w:rPr>
      </w:pPr>
      <w:r>
        <w:rPr>
          <w:rFonts w:ascii="Times New Roman" w:hAnsi="Times New Roman" w:eastAsia="Times New Roman"/>
          <w:b/>
          <w:sz w:val="32"/>
          <w:szCs w:val="32"/>
        </w:rPr>
        <w:t>——</w:t>
      </w:r>
      <w:r>
        <w:rPr>
          <w:b/>
          <w:spacing w:val="4"/>
          <w:sz w:val="32"/>
          <w:szCs w:val="32"/>
        </w:rPr>
        <w:t>推进</w:t>
      </w:r>
      <w:r>
        <w:rPr>
          <w:rFonts w:hint="eastAsia"/>
          <w:b/>
          <w:spacing w:val="4"/>
          <w:sz w:val="32"/>
          <w:szCs w:val="32"/>
          <w:lang w:val="en-US" w:eastAsia="zh-CN"/>
        </w:rPr>
        <w:t>济南古城（明府城片区）</w:t>
      </w:r>
      <w:r>
        <w:rPr>
          <w:b/>
          <w:spacing w:val="4"/>
          <w:sz w:val="32"/>
          <w:szCs w:val="32"/>
        </w:rPr>
        <w:t>建设，</w:t>
      </w:r>
      <w:r>
        <w:rPr>
          <w:rFonts w:hint="eastAsia"/>
          <w:b/>
          <w:spacing w:val="4"/>
          <w:sz w:val="32"/>
          <w:szCs w:val="32"/>
        </w:rPr>
        <w:t>有利于加速推进“泉·城文化景观申遗”工作</w:t>
      </w:r>
      <w:r>
        <w:rPr>
          <w:b/>
          <w:spacing w:val="4"/>
          <w:sz w:val="32"/>
          <w:szCs w:val="32"/>
        </w:rPr>
        <w:t>。</w:t>
      </w:r>
      <w:r>
        <w:rPr>
          <w:rFonts w:hint="eastAsia"/>
          <w:sz w:val="32"/>
          <w:szCs w:val="32"/>
        </w:rPr>
        <w:t>2019年济南泉·城文化景观正式列入中国世界文化遗产预备名单，这意味着泉水文化受到世界瞩目，也彰显了济南市申遗工作取得积极进展。济南市计划十四五期间完成主要遗产要素点的整治修缮工作，一大部分要素点主要集中在古城的明府城片区，该项目的实施将</w:t>
      </w:r>
      <w:r>
        <w:rPr>
          <w:rFonts w:hint="eastAsia"/>
          <w:sz w:val="32"/>
          <w:szCs w:val="32"/>
          <w:lang w:eastAsia="zh-CN"/>
        </w:rPr>
        <w:t>有力地推动</w:t>
      </w:r>
      <w:r>
        <w:rPr>
          <w:rFonts w:hint="eastAsia"/>
          <w:sz w:val="32"/>
          <w:szCs w:val="32"/>
        </w:rPr>
        <w:t>申遗工作的进行。</w:t>
      </w:r>
    </w:p>
    <w:p>
      <w:pPr>
        <w:pStyle w:val="6"/>
        <w:spacing w:before="1"/>
        <w:rPr>
          <w:sz w:val="33"/>
        </w:rPr>
      </w:pPr>
    </w:p>
    <w:p>
      <w:pPr>
        <w:pStyle w:val="3"/>
        <w:ind w:right="336"/>
      </w:pPr>
      <w:bookmarkStart w:id="4" w:name="_Toc900"/>
      <w:r>
        <w:t>第二章 总体要求和发展目标</w:t>
      </w:r>
      <w:bookmarkEnd w:id="4"/>
    </w:p>
    <w:p>
      <w:pPr>
        <w:pStyle w:val="6"/>
        <w:spacing w:before="12"/>
        <w:rPr>
          <w:rFonts w:ascii="微软雅黑"/>
          <w:b/>
          <w:sz w:val="24"/>
        </w:rPr>
      </w:pPr>
    </w:p>
    <w:p>
      <w:pPr>
        <w:pStyle w:val="4"/>
        <w:numPr>
          <w:ilvl w:val="0"/>
          <w:numId w:val="2"/>
        </w:numPr>
        <w:spacing w:before="1"/>
      </w:pPr>
      <w:bookmarkStart w:id="5" w:name="_Toc12806"/>
      <w:r>
        <w:t>指导思想</w:t>
      </w:r>
      <w:bookmarkEnd w:id="5"/>
    </w:p>
    <w:p>
      <w:pPr>
        <w:numPr>
          <w:ilvl w:val="0"/>
          <w:numId w:val="0"/>
        </w:numPr>
        <w:ind w:right="0" w:rightChars="0"/>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0" w:firstLine="640" w:firstLineChars="200"/>
        <w:jc w:val="both"/>
        <w:textAlignment w:val="auto"/>
        <w:rPr>
          <w:sz w:val="32"/>
          <w:szCs w:val="32"/>
        </w:rPr>
      </w:pPr>
      <w:r>
        <w:rPr>
          <w:sz w:val="32"/>
          <w:szCs w:val="32"/>
        </w:rPr>
        <w:t>以习近平新时代中国特色社会主义思想为指导，全面贯彻党的十九大和十九届二中、三中</w:t>
      </w:r>
      <w:r>
        <w:rPr>
          <w:rFonts w:hint="eastAsia"/>
          <w:sz w:val="32"/>
          <w:szCs w:val="32"/>
          <w:lang w:eastAsia="zh-CN"/>
        </w:rPr>
        <w:t>、</w:t>
      </w:r>
      <w:r>
        <w:rPr>
          <w:rFonts w:hint="eastAsia"/>
          <w:sz w:val="32"/>
          <w:szCs w:val="32"/>
          <w:lang w:val="en-US" w:eastAsia="zh-CN"/>
        </w:rPr>
        <w:t>四中、五中、六中</w:t>
      </w:r>
      <w:r>
        <w:rPr>
          <w:sz w:val="32"/>
          <w:szCs w:val="32"/>
        </w:rPr>
        <w:t>全会精神，统筹推进</w:t>
      </w:r>
      <w:r>
        <w:rPr>
          <w:rFonts w:ascii="Times New Roman" w:hAnsi="Times New Roman" w:eastAsia="Times New Roman"/>
          <w:sz w:val="32"/>
          <w:szCs w:val="32"/>
        </w:rPr>
        <w:t>“</w:t>
      </w:r>
      <w:r>
        <w:rPr>
          <w:sz w:val="32"/>
          <w:szCs w:val="32"/>
        </w:rPr>
        <w:t>五位一体</w:t>
      </w:r>
      <w:r>
        <w:rPr>
          <w:rFonts w:ascii="Times New Roman" w:hAnsi="Times New Roman" w:eastAsia="Times New Roman"/>
          <w:sz w:val="32"/>
          <w:szCs w:val="32"/>
        </w:rPr>
        <w:t>”</w:t>
      </w:r>
      <w:r>
        <w:rPr>
          <w:sz w:val="32"/>
          <w:szCs w:val="32"/>
        </w:rPr>
        <w:t>总体布局，协调推进</w:t>
      </w:r>
      <w:r>
        <w:rPr>
          <w:rFonts w:ascii="Times New Roman" w:hAnsi="Times New Roman" w:eastAsia="Times New Roman"/>
          <w:sz w:val="32"/>
          <w:szCs w:val="32"/>
        </w:rPr>
        <w:t>“</w:t>
      </w:r>
      <w:r>
        <w:rPr>
          <w:sz w:val="32"/>
          <w:szCs w:val="32"/>
        </w:rPr>
        <w:t>四个全面</w:t>
      </w:r>
      <w:r>
        <w:rPr>
          <w:rFonts w:ascii="Times New Roman" w:hAnsi="Times New Roman" w:eastAsia="Times New Roman"/>
          <w:sz w:val="32"/>
          <w:szCs w:val="32"/>
        </w:rPr>
        <w:t>”</w:t>
      </w:r>
      <w:r>
        <w:rPr>
          <w:sz w:val="32"/>
          <w:szCs w:val="32"/>
        </w:rPr>
        <w:t>战略布局，确保全面建设社会主义现代化国家开好局、起好步，围绕</w:t>
      </w:r>
      <w:r>
        <w:rPr>
          <w:rFonts w:ascii="Times New Roman" w:hAnsi="Times New Roman" w:eastAsia="Times New Roman"/>
          <w:sz w:val="32"/>
          <w:szCs w:val="32"/>
        </w:rPr>
        <w:t>“</w:t>
      </w:r>
      <w:r>
        <w:rPr>
          <w:sz w:val="32"/>
          <w:szCs w:val="32"/>
        </w:rPr>
        <w:t>黄河流域生态保护和高质量发展战略</w:t>
      </w:r>
      <w:r>
        <w:rPr>
          <w:rFonts w:ascii="Times New Roman" w:hAnsi="Times New Roman" w:eastAsia="Times New Roman"/>
          <w:sz w:val="32"/>
          <w:szCs w:val="32"/>
        </w:rPr>
        <w:t>”</w:t>
      </w:r>
      <w:r>
        <w:rPr>
          <w:sz w:val="32"/>
          <w:szCs w:val="32"/>
        </w:rPr>
        <w:t>再深化、改革开放再出发，坚持新发展理念，构建新发展格局</w:t>
      </w:r>
      <w:r>
        <w:rPr>
          <w:rFonts w:hint="eastAsia"/>
          <w:sz w:val="32"/>
          <w:szCs w:val="32"/>
          <w:lang w:eastAsia="zh-CN"/>
        </w:rPr>
        <w:t>，</w:t>
      </w:r>
      <w:r>
        <w:rPr>
          <w:sz w:val="32"/>
          <w:szCs w:val="32"/>
        </w:rPr>
        <w:t>坚持推进高质量发展，增强“四个意识”、坚定“四个自信”、做到“两个维护”，学以致用、知行合一，切实推动党中央关于“十四五”时期发展的重大决策部署落到实处，努力将</w:t>
      </w:r>
      <w:r>
        <w:rPr>
          <w:rFonts w:hint="eastAsia"/>
          <w:sz w:val="32"/>
          <w:szCs w:val="32"/>
          <w:lang w:val="en-US" w:eastAsia="zh-CN"/>
        </w:rPr>
        <w:t>济南古城（明府城片区）</w:t>
      </w:r>
      <w:r>
        <w:rPr>
          <w:sz w:val="32"/>
          <w:szCs w:val="32"/>
        </w:rPr>
        <w:t>建设成为</w:t>
      </w:r>
      <w:r>
        <w:rPr>
          <w:rFonts w:hint="eastAsia"/>
          <w:sz w:val="32"/>
          <w:szCs w:val="32"/>
          <w:lang w:val="en-US" w:eastAsia="zh-CN"/>
        </w:rPr>
        <w:t>历史文化浓厚、配套设施完善、</w:t>
      </w:r>
      <w:r>
        <w:rPr>
          <w:sz w:val="32"/>
          <w:szCs w:val="32"/>
        </w:rPr>
        <w:t>生活品质高雅、生态环境优美、功能综合完</w:t>
      </w:r>
      <w:r>
        <w:rPr>
          <w:rFonts w:hint="eastAsia"/>
          <w:sz w:val="32"/>
          <w:szCs w:val="32"/>
          <w:lang w:val="en-US" w:eastAsia="zh-CN"/>
        </w:rPr>
        <w:t>整</w:t>
      </w:r>
      <w:r>
        <w:rPr>
          <w:sz w:val="32"/>
          <w:szCs w:val="32"/>
        </w:rPr>
        <w:t>、管理智慧高效的</w:t>
      </w:r>
      <w:r>
        <w:rPr>
          <w:rFonts w:hint="eastAsia"/>
          <w:sz w:val="32"/>
          <w:szCs w:val="32"/>
          <w:lang w:val="en-US" w:eastAsia="zh-CN"/>
        </w:rPr>
        <w:t>城市更新</w:t>
      </w:r>
      <w:r>
        <w:rPr>
          <w:sz w:val="32"/>
          <w:szCs w:val="32"/>
        </w:rPr>
        <w:t>样板。</w:t>
      </w:r>
    </w:p>
    <w:p>
      <w:pPr>
        <w:pStyle w:val="4"/>
        <w:spacing w:before="70"/>
      </w:pPr>
      <w:bookmarkStart w:id="6" w:name="_Toc26930"/>
    </w:p>
    <w:p/>
    <w:p>
      <w:pPr>
        <w:pStyle w:val="4"/>
        <w:numPr>
          <w:ilvl w:val="0"/>
          <w:numId w:val="2"/>
        </w:numPr>
        <w:spacing w:before="70"/>
        <w:ind w:left="0" w:leftChars="0" w:firstLine="0" w:firstLineChars="0"/>
      </w:pPr>
      <w:r>
        <w:t>基本原则</w:t>
      </w:r>
      <w:bookmarkEnd w:id="6"/>
    </w:p>
    <w:p>
      <w:pPr>
        <w:pStyle w:val="6"/>
        <w:keepNext w:val="0"/>
        <w:keepLines w:val="0"/>
        <w:pageBreakBefore w:val="0"/>
        <w:widowControl w:val="0"/>
        <w:kinsoku/>
        <w:wordWrap/>
        <w:overflowPunct/>
        <w:topLinePunct w:val="0"/>
        <w:autoSpaceDE w:val="0"/>
        <w:autoSpaceDN w:val="0"/>
        <w:bidi w:val="0"/>
        <w:adjustRightInd/>
        <w:snapToGrid/>
        <w:spacing w:before="356" w:line="360" w:lineRule="auto"/>
        <w:ind w:right="508" w:firstLine="640" w:firstLineChars="200"/>
        <w:jc w:val="both"/>
        <w:textAlignment w:val="auto"/>
        <w:rPr>
          <w:sz w:val="32"/>
          <w:szCs w:val="32"/>
        </w:rPr>
      </w:pPr>
      <w:r>
        <w:rPr>
          <w:rFonts w:ascii="Times New Roman" w:hAnsi="Times New Roman" w:eastAsia="Times New Roman"/>
          <w:b/>
          <w:sz w:val="32"/>
          <w:szCs w:val="32"/>
        </w:rPr>
        <w:t>——</w:t>
      </w:r>
      <w:r>
        <w:rPr>
          <w:b/>
          <w:sz w:val="32"/>
          <w:szCs w:val="32"/>
        </w:rPr>
        <w:t>改革引领，创新驱动。</w:t>
      </w:r>
      <w:r>
        <w:rPr>
          <w:sz w:val="32"/>
          <w:szCs w:val="32"/>
        </w:rPr>
        <w:t>坚持科技创新与制度创新并举， 坚定推动国际科技交流合作，发挥先行先试的制度优势。整合集聚全球顶尖创新资源，在新能源、智能制造、智慧城市等重点领域加大研发创新力度，引领技术创新和产业变革。在规划建设、人才引进、科创合作等领域加快改革，探索建立企业参与交流合作、城市建设运营等方面的新机制。</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512" w:firstLine="640" w:firstLineChars="200"/>
        <w:jc w:val="both"/>
        <w:textAlignment w:val="auto"/>
        <w:rPr>
          <w:sz w:val="32"/>
          <w:szCs w:val="32"/>
        </w:rPr>
      </w:pPr>
      <w:r>
        <w:rPr>
          <w:rFonts w:ascii="Times New Roman" w:hAnsi="Times New Roman" w:eastAsia="Times New Roman"/>
          <w:b/>
          <w:sz w:val="32"/>
          <w:szCs w:val="32"/>
        </w:rPr>
        <w:t>——</w:t>
      </w:r>
      <w:r>
        <w:rPr>
          <w:b/>
          <w:sz w:val="32"/>
          <w:szCs w:val="32"/>
        </w:rPr>
        <w:t>政企合作，市场运作。</w:t>
      </w:r>
      <w:r>
        <w:rPr>
          <w:sz w:val="32"/>
          <w:szCs w:val="32"/>
        </w:rPr>
        <w:t>坚持市场主导、政府引导，创新完善行政管理体制，明确政企责权边界，推动社会企业、专业机构、个人等多元社会主体积极参与</w:t>
      </w:r>
      <w:r>
        <w:rPr>
          <w:rFonts w:hint="eastAsia"/>
          <w:sz w:val="32"/>
          <w:szCs w:val="32"/>
          <w:lang w:val="en-US" w:eastAsia="zh-CN"/>
        </w:rPr>
        <w:t>济南古城（明府城片区）</w:t>
      </w:r>
      <w:r>
        <w:rPr>
          <w:sz w:val="32"/>
          <w:szCs w:val="32"/>
        </w:rPr>
        <w:t>的投资、建设和运营，实现各类资源要素的优化配置，务实高效地推进</w:t>
      </w:r>
      <w:r>
        <w:rPr>
          <w:rFonts w:hint="eastAsia"/>
          <w:sz w:val="32"/>
          <w:szCs w:val="32"/>
          <w:lang w:val="en-US" w:eastAsia="zh-CN"/>
        </w:rPr>
        <w:t>济南古城（明府城片区）城市更新</w:t>
      </w:r>
      <w:r>
        <w:rPr>
          <w:sz w:val="32"/>
          <w:szCs w:val="32"/>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508" w:firstLine="640" w:firstLineChars="200"/>
        <w:jc w:val="both"/>
        <w:textAlignment w:val="auto"/>
        <w:rPr>
          <w:sz w:val="32"/>
          <w:szCs w:val="32"/>
        </w:rPr>
      </w:pPr>
      <w:r>
        <w:rPr>
          <w:rFonts w:ascii="Times New Roman" w:hAnsi="Times New Roman" w:eastAsia="Times New Roman"/>
          <w:b/>
          <w:sz w:val="32"/>
          <w:szCs w:val="32"/>
        </w:rPr>
        <w:t>——</w:t>
      </w:r>
      <w:r>
        <w:rPr>
          <w:b/>
          <w:sz w:val="32"/>
          <w:szCs w:val="32"/>
        </w:rPr>
        <w:t>统筹规划，稳步实施。</w:t>
      </w:r>
      <w:r>
        <w:rPr>
          <w:sz w:val="32"/>
          <w:szCs w:val="32"/>
        </w:rPr>
        <w:t>坚持统筹管理、一体规划、分步推进，既要面向世界、着眼长远，高起点、高标准、高质量规划建设，前瞻性地将各类先进技术和理念应用于</w:t>
      </w:r>
      <w:r>
        <w:rPr>
          <w:rFonts w:hint="eastAsia"/>
          <w:sz w:val="32"/>
          <w:szCs w:val="32"/>
          <w:lang w:val="en-US" w:eastAsia="zh-CN"/>
        </w:rPr>
        <w:t>城市更新</w:t>
      </w:r>
      <w:r>
        <w:rPr>
          <w:sz w:val="32"/>
          <w:szCs w:val="32"/>
        </w:rPr>
        <w:t>建设，又要合理把握开发建设的时序、节奏和步骤，实现城市建设资金的滚动平衡，稳步推进</w:t>
      </w:r>
      <w:r>
        <w:rPr>
          <w:rFonts w:hint="eastAsia"/>
          <w:sz w:val="32"/>
          <w:szCs w:val="32"/>
          <w:lang w:val="en-US" w:eastAsia="zh-CN"/>
        </w:rPr>
        <w:t>济南古城（明府城片区）的</w:t>
      </w:r>
      <w:r>
        <w:rPr>
          <w:sz w:val="32"/>
          <w:szCs w:val="32"/>
        </w:rPr>
        <w:t>建设和发展。</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508" w:firstLine="640" w:firstLineChars="200"/>
        <w:jc w:val="both"/>
        <w:textAlignment w:val="auto"/>
        <w:rPr>
          <w:sz w:val="32"/>
          <w:szCs w:val="32"/>
        </w:rPr>
      </w:pPr>
      <w:r>
        <w:rPr>
          <w:rFonts w:ascii="Times New Roman" w:hAnsi="Times New Roman" w:eastAsia="Times New Roman"/>
          <w:b/>
          <w:sz w:val="32"/>
          <w:szCs w:val="32"/>
        </w:rPr>
        <w:t>——</w:t>
      </w:r>
      <w:r>
        <w:rPr>
          <w:b/>
          <w:sz w:val="32"/>
          <w:szCs w:val="32"/>
        </w:rPr>
        <w:t>集约高效，绿色低碳。</w:t>
      </w:r>
      <w:r>
        <w:rPr>
          <w:sz w:val="32"/>
          <w:szCs w:val="32"/>
        </w:rPr>
        <w:t>加快推进智慧城市建设，推动物联网、云计算、大数据等新一代信息技术在城市建设和经济社会发展中的应用，建立城市高效智能运行模式。加快构建绿色生产方式、生活方式和消费模式，集约利用土地、水和能源等资源， 实现人与自然的和谐共生，城市建设与生态环境的协调平衡。</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512" w:firstLine="640" w:firstLineChars="200"/>
        <w:jc w:val="both"/>
        <w:textAlignment w:val="auto"/>
      </w:pPr>
      <w:r>
        <w:rPr>
          <w:rFonts w:ascii="Times New Roman" w:hAnsi="Times New Roman" w:eastAsia="Times New Roman"/>
          <w:b/>
          <w:sz w:val="32"/>
          <w:szCs w:val="32"/>
        </w:rPr>
        <w:t>——</w:t>
      </w:r>
      <w:r>
        <w:rPr>
          <w:b/>
          <w:sz w:val="32"/>
          <w:szCs w:val="32"/>
        </w:rPr>
        <w:t>以人为本，</w:t>
      </w:r>
      <w:r>
        <w:rPr>
          <w:rFonts w:hint="eastAsia"/>
          <w:b/>
          <w:sz w:val="32"/>
          <w:szCs w:val="32"/>
          <w:lang w:val="en-US" w:eastAsia="zh-CN"/>
        </w:rPr>
        <w:t>和谐</w:t>
      </w:r>
      <w:r>
        <w:rPr>
          <w:b/>
          <w:sz w:val="32"/>
          <w:szCs w:val="32"/>
        </w:rPr>
        <w:t>发展。</w:t>
      </w:r>
      <w:r>
        <w:rPr>
          <w:sz w:val="32"/>
          <w:szCs w:val="32"/>
        </w:rPr>
        <w:t xml:space="preserve">坚持以人民为中心的发展思想， </w:t>
      </w:r>
      <w:r>
        <w:rPr>
          <w:rFonts w:hint="eastAsia"/>
          <w:sz w:val="32"/>
          <w:szCs w:val="32"/>
          <w:lang w:val="en-US" w:eastAsia="zh-CN"/>
        </w:rPr>
        <w:t>把</w:t>
      </w:r>
      <w:r>
        <w:rPr>
          <w:sz w:val="32"/>
          <w:szCs w:val="32"/>
        </w:rPr>
        <w:t>增进人民福祉，</w:t>
      </w:r>
      <w:r>
        <w:rPr>
          <w:rFonts w:hint="eastAsia"/>
          <w:sz w:val="32"/>
          <w:szCs w:val="32"/>
          <w:lang w:val="en-US" w:eastAsia="zh-CN"/>
        </w:rPr>
        <w:t>改善居民生活条件</w:t>
      </w:r>
      <w:r>
        <w:rPr>
          <w:sz w:val="32"/>
          <w:szCs w:val="32"/>
        </w:rPr>
        <w:t>作为</w:t>
      </w:r>
      <w:r>
        <w:rPr>
          <w:rFonts w:hint="eastAsia"/>
          <w:sz w:val="32"/>
          <w:szCs w:val="32"/>
          <w:lang w:val="en-US" w:eastAsia="zh-CN"/>
        </w:rPr>
        <w:t>城市更新</w:t>
      </w:r>
      <w:r>
        <w:rPr>
          <w:sz w:val="32"/>
          <w:szCs w:val="32"/>
        </w:rPr>
        <w:t>建设的出发点和落脚点。基于人民对美好生活的向往， 创新地满足群众各方面的需求，努力提供便利舒适的现代化生活环境，建设合作共享的发展平台，打造能够实现自我价值、创新活跃的魅力之城。</w:t>
      </w:r>
    </w:p>
    <w:p>
      <w:pPr>
        <w:pStyle w:val="4"/>
        <w:numPr>
          <w:ilvl w:val="0"/>
          <w:numId w:val="2"/>
        </w:numPr>
        <w:spacing w:line="573" w:lineRule="exact"/>
        <w:ind w:left="0" w:leftChars="0" w:right="335" w:firstLine="0" w:firstLineChars="0"/>
      </w:pPr>
      <w:bookmarkStart w:id="7" w:name="_Toc19976"/>
      <w:r>
        <w:t>发展定位</w:t>
      </w:r>
      <w:bookmarkEnd w:id="7"/>
    </w:p>
    <w:p>
      <w:pPr>
        <w:numPr>
          <w:ilvl w:val="0"/>
          <w:numId w:val="0"/>
        </w:numPr>
        <w:ind w:leftChars="0" w:right="0" w:rightChars="0"/>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5" w:firstLine="640" w:firstLineChars="200"/>
        <w:jc w:val="both"/>
        <w:textAlignment w:val="auto"/>
        <w:rPr>
          <w:sz w:val="32"/>
          <w:szCs w:val="32"/>
        </w:rPr>
      </w:pPr>
      <w:r>
        <w:rPr>
          <w:rFonts w:ascii="Times New Roman" w:hAnsi="Times New Roman" w:eastAsia="Times New Roman"/>
          <w:b/>
          <w:sz w:val="32"/>
          <w:szCs w:val="32"/>
        </w:rPr>
        <w:t>——</w:t>
      </w:r>
      <w:r>
        <w:rPr>
          <w:b/>
          <w:spacing w:val="4"/>
          <w:sz w:val="32"/>
          <w:szCs w:val="32"/>
        </w:rPr>
        <w:t>政府与企业创新合作典范。</w:t>
      </w:r>
      <w:r>
        <w:rPr>
          <w:sz w:val="32"/>
          <w:szCs w:val="32"/>
        </w:rPr>
        <w:t>科学合理确定</w:t>
      </w:r>
      <w:r>
        <w:rPr>
          <w:rFonts w:hint="eastAsia"/>
          <w:sz w:val="32"/>
          <w:szCs w:val="32"/>
          <w:lang w:val="en-US" w:eastAsia="zh-CN"/>
        </w:rPr>
        <w:t>济南古城（明府城片区）</w:t>
      </w:r>
      <w:r>
        <w:rPr>
          <w:sz w:val="32"/>
          <w:szCs w:val="32"/>
        </w:rPr>
        <w:t>建设运营中政企责权边界，塑造公平、统一、高效的市场</w:t>
      </w:r>
      <w:r>
        <w:rPr>
          <w:spacing w:val="-6"/>
          <w:sz w:val="32"/>
          <w:szCs w:val="32"/>
        </w:rPr>
        <w:t>环境，营造法治化、国际化、便利化的营商环境，加快构建</w:t>
      </w:r>
      <w:r>
        <w:rPr>
          <w:rFonts w:ascii="Times New Roman" w:hAnsi="Times New Roman" w:eastAsia="Times New Roman"/>
          <w:sz w:val="32"/>
          <w:szCs w:val="32"/>
        </w:rPr>
        <w:t>“</w:t>
      </w:r>
      <w:r>
        <w:rPr>
          <w:spacing w:val="-7"/>
          <w:sz w:val="32"/>
          <w:szCs w:val="32"/>
        </w:rPr>
        <w:t>市场</w:t>
      </w:r>
      <w:r>
        <w:rPr>
          <w:spacing w:val="-5"/>
          <w:sz w:val="32"/>
          <w:szCs w:val="32"/>
        </w:rPr>
        <w:t>有效、政府有为、企业有利、百姓受益</w:t>
      </w:r>
      <w:r>
        <w:rPr>
          <w:rFonts w:ascii="Times New Roman" w:hAnsi="Times New Roman" w:eastAsia="Times New Roman"/>
          <w:sz w:val="32"/>
          <w:szCs w:val="32"/>
        </w:rPr>
        <w:t>”</w:t>
      </w:r>
      <w:r>
        <w:rPr>
          <w:spacing w:val="-3"/>
          <w:sz w:val="32"/>
          <w:szCs w:val="32"/>
        </w:rPr>
        <w:t>的体制机制，充分激发</w:t>
      </w:r>
      <w:r>
        <w:rPr>
          <w:sz w:val="32"/>
          <w:szCs w:val="32"/>
        </w:rPr>
        <w:t>企业发展活力。</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0" w:firstLineChars="200"/>
        <w:jc w:val="both"/>
        <w:textAlignment w:val="auto"/>
        <w:rPr>
          <w:rFonts w:hint="eastAsia" w:eastAsia="仿宋_GB2312"/>
          <w:sz w:val="32"/>
          <w:szCs w:val="32"/>
          <w:lang w:eastAsia="zh-CN"/>
        </w:rPr>
      </w:pPr>
      <w:r>
        <w:rPr>
          <w:rFonts w:ascii="Times New Roman" w:hAnsi="Times New Roman" w:eastAsia="Times New Roman"/>
          <w:b/>
          <w:sz w:val="32"/>
          <w:szCs w:val="32"/>
        </w:rPr>
        <w:t>——</w:t>
      </w:r>
      <w:r>
        <w:rPr>
          <w:rFonts w:hint="eastAsia"/>
          <w:b/>
          <w:spacing w:val="4"/>
          <w:sz w:val="32"/>
          <w:szCs w:val="32"/>
        </w:rPr>
        <w:t>世界级商旅文目的地</w:t>
      </w:r>
      <w:r>
        <w:rPr>
          <w:b/>
          <w:sz w:val="32"/>
          <w:szCs w:val="32"/>
        </w:rPr>
        <w:t>。</w:t>
      </w:r>
      <w:r>
        <w:rPr>
          <w:rFonts w:hint="eastAsia"/>
          <w:sz w:val="32"/>
          <w:szCs w:val="32"/>
        </w:rPr>
        <w:t>济南是中国历史文化名城中唯一一座因泉而生，泉城共生的城市，具有独特的泉 水文化，是世界古城冷泉利用体系的典范。历史街区是其中最为典型的区域</w:t>
      </w:r>
      <w:r>
        <w:rPr>
          <w:rFonts w:hint="eastAsia"/>
          <w:sz w:val="32"/>
          <w:szCs w:val="32"/>
          <w:lang w:eastAsia="zh-CN"/>
        </w:rPr>
        <w:t>。</w:t>
      </w:r>
      <w:r>
        <w:rPr>
          <w:rFonts w:hint="eastAsia"/>
          <w:sz w:val="32"/>
          <w:szCs w:val="32"/>
        </w:rPr>
        <w:t>济南老城</w:t>
      </w:r>
      <w:r>
        <w:rPr>
          <w:rFonts w:hint="eastAsia"/>
          <w:sz w:val="32"/>
          <w:szCs w:val="32"/>
          <w:lang w:val="en-US" w:eastAsia="zh-CN"/>
        </w:rPr>
        <w:t>也</w:t>
      </w:r>
      <w:r>
        <w:rPr>
          <w:rFonts w:hint="eastAsia"/>
          <w:sz w:val="32"/>
          <w:szCs w:val="32"/>
        </w:rPr>
        <w:t>是济南传统生活和非物质文化遗产的重要传承地。泉水文化、儒释道文化、名士文化、红色文化特色突出，多元文化，遗存丰富</w:t>
      </w:r>
      <w:r>
        <w:rPr>
          <w:sz w:val="32"/>
          <w:szCs w:val="32"/>
        </w:rPr>
        <w:t>。</w:t>
      </w:r>
      <w:r>
        <w:rPr>
          <w:rFonts w:hint="eastAsia"/>
          <w:sz w:val="32"/>
          <w:szCs w:val="32"/>
        </w:rPr>
        <w:t>打造泉水文化集中彰显区域，展示泉水文化的世界品牌窗口</w:t>
      </w:r>
      <w:r>
        <w:rPr>
          <w:rFonts w:hint="eastAsia"/>
          <w:sz w:val="32"/>
          <w:szCs w:val="32"/>
          <w:lang w:eastAsia="zh-CN"/>
        </w:rPr>
        <w:t>。营造济南古城历史、齐鲁之源、多元文化沉浸体验片区，展现恬静、儒雅的生活空间体验。以人民为根本，营造宜业、宜居、宜乐、宜游的示范历史街区。</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0" w:firstLineChars="200"/>
        <w:jc w:val="both"/>
        <w:textAlignment w:val="auto"/>
        <w:rPr>
          <w:sz w:val="32"/>
          <w:szCs w:val="32"/>
        </w:rPr>
      </w:pPr>
      <w:r>
        <w:rPr>
          <w:rFonts w:ascii="Times New Roman" w:hAnsi="Times New Roman" w:eastAsia="Times New Roman"/>
          <w:b/>
          <w:sz w:val="32"/>
          <w:szCs w:val="32"/>
        </w:rPr>
        <w:t>——</w:t>
      </w:r>
      <w:r>
        <w:rPr>
          <w:b/>
          <w:sz w:val="32"/>
          <w:szCs w:val="32"/>
        </w:rPr>
        <w:t>高质量发展先行区。</w:t>
      </w:r>
      <w:r>
        <w:rPr>
          <w:sz w:val="32"/>
          <w:szCs w:val="32"/>
        </w:rPr>
        <w:t>聚焦贯彻落实新发展理念，深化供给侧结构性改革，持续推动产业升级发展，通过产业投资带动产、城、人、创的融合， 不断增强</w:t>
      </w:r>
      <w:r>
        <w:rPr>
          <w:rFonts w:hint="eastAsia"/>
          <w:sz w:val="32"/>
          <w:szCs w:val="32"/>
          <w:lang w:val="en-US" w:eastAsia="zh-CN"/>
        </w:rPr>
        <w:t>济南古城（明府城片区）</w:t>
      </w:r>
      <w:r>
        <w:rPr>
          <w:sz w:val="32"/>
          <w:szCs w:val="32"/>
        </w:rPr>
        <w:t>的经济活力、创新能力和核心竞争力， 打造</w:t>
      </w:r>
      <w:r>
        <w:rPr>
          <w:rFonts w:hint="eastAsia"/>
          <w:sz w:val="32"/>
          <w:szCs w:val="32"/>
          <w:lang w:val="en-US" w:eastAsia="zh-CN"/>
        </w:rPr>
        <w:t>沿黄城市群</w:t>
      </w:r>
      <w:r>
        <w:rPr>
          <w:sz w:val="32"/>
          <w:szCs w:val="32"/>
        </w:rPr>
        <w:t>高质量发展新引擎，成为新时代</w:t>
      </w:r>
      <w:r>
        <w:rPr>
          <w:rFonts w:hint="eastAsia"/>
          <w:sz w:val="32"/>
          <w:szCs w:val="32"/>
          <w:lang w:val="en-US" w:eastAsia="zh-CN"/>
        </w:rPr>
        <w:t>城市更新</w:t>
      </w:r>
      <w:r>
        <w:rPr>
          <w:sz w:val="32"/>
          <w:szCs w:val="32"/>
        </w:rPr>
        <w:t>的全省乃至全国样板。</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0" w:firstLineChars="200"/>
        <w:jc w:val="both"/>
        <w:textAlignment w:val="auto"/>
        <w:rPr>
          <w:sz w:val="32"/>
          <w:szCs w:val="32"/>
        </w:rPr>
      </w:pPr>
      <w:r>
        <w:rPr>
          <w:rFonts w:ascii="Times New Roman" w:hAnsi="Times New Roman" w:eastAsia="Times New Roman"/>
          <w:sz w:val="32"/>
          <w:szCs w:val="32"/>
        </w:rPr>
        <w:t>——</w:t>
      </w:r>
      <w:r>
        <w:rPr>
          <w:b/>
          <w:sz w:val="32"/>
          <w:szCs w:val="32"/>
        </w:rPr>
        <w:t>应用科技创新引领区。</w:t>
      </w:r>
      <w:r>
        <w:rPr>
          <w:sz w:val="32"/>
          <w:szCs w:val="32"/>
        </w:rPr>
        <w:t>深入实施创新驱动发展战略，推进</w:t>
      </w:r>
      <w:r>
        <w:rPr>
          <w:rFonts w:hint="eastAsia"/>
          <w:sz w:val="32"/>
          <w:szCs w:val="32"/>
          <w:lang w:val="en-US" w:eastAsia="zh-CN"/>
        </w:rPr>
        <w:t>城市有机更新</w:t>
      </w:r>
      <w:r>
        <w:rPr>
          <w:sz w:val="32"/>
          <w:szCs w:val="32"/>
        </w:rPr>
        <w:t>全面创新，营造高效、协同、共享的一流创新环境，抢占新能源、智能制造、智慧城市等重点领域应用技术创新制高点，将</w:t>
      </w:r>
      <w:r>
        <w:rPr>
          <w:rFonts w:hint="eastAsia"/>
          <w:sz w:val="32"/>
          <w:szCs w:val="32"/>
          <w:lang w:val="en-US" w:eastAsia="zh-CN"/>
        </w:rPr>
        <w:t>济南古城（明府城片区）</w:t>
      </w:r>
      <w:r>
        <w:rPr>
          <w:sz w:val="32"/>
          <w:szCs w:val="32"/>
        </w:rPr>
        <w:t>建设成为</w:t>
      </w:r>
      <w:r>
        <w:rPr>
          <w:rFonts w:hint="eastAsia"/>
          <w:sz w:val="32"/>
          <w:szCs w:val="32"/>
          <w:lang w:val="en-US" w:eastAsia="zh-CN"/>
        </w:rPr>
        <w:t>城市有机更新</w:t>
      </w:r>
      <w:r>
        <w:rPr>
          <w:sz w:val="32"/>
          <w:szCs w:val="32"/>
        </w:rPr>
        <w:t>的创新高地。</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68" w:firstLine="640" w:firstLineChars="200"/>
        <w:textAlignment w:val="auto"/>
      </w:pPr>
      <w:r>
        <w:rPr>
          <w:rFonts w:ascii="Times New Roman" w:hAnsi="Times New Roman" w:eastAsia="Times New Roman"/>
          <w:sz w:val="32"/>
          <w:szCs w:val="32"/>
        </w:rPr>
        <w:t>——</w:t>
      </w:r>
      <w:r>
        <w:rPr>
          <w:rFonts w:hint="eastAsia"/>
          <w:b/>
          <w:sz w:val="32"/>
          <w:szCs w:val="32"/>
          <w:lang w:val="en-US" w:eastAsia="zh-CN"/>
        </w:rPr>
        <w:t>城市更新</w:t>
      </w:r>
      <w:r>
        <w:rPr>
          <w:b/>
          <w:spacing w:val="4"/>
          <w:sz w:val="32"/>
          <w:szCs w:val="32"/>
        </w:rPr>
        <w:t>建设示范区。</w:t>
      </w:r>
      <w:r>
        <w:rPr>
          <w:sz w:val="32"/>
          <w:szCs w:val="32"/>
        </w:rPr>
        <w:t>塑造集约高效的城市空间，营造生态宜居的人居环境，构造高品质的生活场景。广泛运用新一代</w:t>
      </w:r>
      <w:r>
        <w:rPr>
          <w:spacing w:val="-5"/>
          <w:sz w:val="32"/>
          <w:szCs w:val="32"/>
        </w:rPr>
        <w:t>信息技术建设智慧城市，以</w:t>
      </w:r>
      <w:r>
        <w:rPr>
          <w:sz w:val="32"/>
          <w:szCs w:val="32"/>
        </w:rPr>
        <w:t>智慧能源、智慧交通、智慧社区等建设为重点，实施数据驱动的精细化管理，建立城市</w:t>
      </w:r>
      <w:r>
        <w:rPr>
          <w:spacing w:val="-8"/>
          <w:sz w:val="32"/>
          <w:szCs w:val="32"/>
        </w:rPr>
        <w:t xml:space="preserve">自我更新的运行机制，更好地满足人民群众的各项需求， </w:t>
      </w:r>
      <w:r>
        <w:rPr>
          <w:sz w:val="32"/>
          <w:szCs w:val="32"/>
        </w:rPr>
        <w:t>建设成为具有国际影响力的</w:t>
      </w:r>
      <w:r>
        <w:rPr>
          <w:rFonts w:hint="eastAsia"/>
          <w:sz w:val="32"/>
          <w:szCs w:val="32"/>
          <w:lang w:val="en-US" w:eastAsia="zh-CN"/>
        </w:rPr>
        <w:t>城市更新</w:t>
      </w:r>
      <w:r>
        <w:rPr>
          <w:sz w:val="32"/>
          <w:szCs w:val="32"/>
        </w:rPr>
        <w:t>典范。</w:t>
      </w:r>
      <w:bookmarkStart w:id="8" w:name="_Toc18726"/>
    </w:p>
    <w:p>
      <w:pPr>
        <w:pStyle w:val="4"/>
        <w:numPr>
          <w:ilvl w:val="0"/>
          <w:numId w:val="2"/>
        </w:numPr>
        <w:spacing w:before="73"/>
        <w:ind w:left="0" w:leftChars="0" w:firstLine="0" w:firstLineChars="0"/>
        <w:rPr>
          <w:rFonts w:hint="eastAsia"/>
          <w:spacing w:val="-38"/>
          <w:sz w:val="32"/>
          <w:szCs w:val="32"/>
        </w:rPr>
      </w:pPr>
      <w:r>
        <w:t>发展目标</w:t>
      </w:r>
      <w:bookmarkEnd w:id="8"/>
    </w:p>
    <w:p>
      <w:pPr>
        <w:rPr>
          <w:rFonts w:hint="eastAsia"/>
          <w:sz w:val="32"/>
          <w:szCs w:val="32"/>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508" w:firstLine="488" w:firstLineChars="200"/>
        <w:jc w:val="both"/>
        <w:textAlignment w:val="auto"/>
        <w:rPr>
          <w:sz w:val="32"/>
          <w:szCs w:val="32"/>
        </w:rPr>
      </w:pPr>
      <w:r>
        <w:rPr>
          <w:rFonts w:hint="eastAsia"/>
          <w:spacing w:val="-38"/>
          <w:sz w:val="32"/>
          <w:szCs w:val="32"/>
        </w:rPr>
        <w:t>对标</w:t>
      </w:r>
      <w:r>
        <w:rPr>
          <w:sz w:val="32"/>
          <w:szCs w:val="32"/>
        </w:rPr>
        <w:t>黄河流域生态保护和高质量发展战略</w:t>
      </w:r>
      <w:r>
        <w:rPr>
          <w:rFonts w:hint="eastAsia"/>
          <w:sz w:val="32"/>
          <w:szCs w:val="32"/>
          <w:lang w:eastAsia="zh-CN"/>
        </w:rPr>
        <w:t>、</w:t>
      </w:r>
      <w:r>
        <w:rPr>
          <w:rFonts w:hint="eastAsia"/>
          <w:spacing w:val="-38"/>
          <w:sz w:val="32"/>
          <w:szCs w:val="32"/>
        </w:rPr>
        <w:t>中华优秀传统文化传承发展工程、新旧动能转化等国家战略目标，在十四五期间将济南古城</w:t>
      </w:r>
      <w:r>
        <w:rPr>
          <w:rFonts w:hint="eastAsia"/>
          <w:spacing w:val="-38"/>
          <w:sz w:val="32"/>
          <w:szCs w:val="32"/>
          <w:lang w:eastAsia="zh-CN"/>
        </w:rPr>
        <w:t>（</w:t>
      </w:r>
      <w:r>
        <w:rPr>
          <w:rFonts w:hint="eastAsia"/>
          <w:spacing w:val="-38"/>
          <w:sz w:val="32"/>
          <w:szCs w:val="32"/>
          <w:lang w:val="en-US" w:eastAsia="zh-CN"/>
        </w:rPr>
        <w:t>明府城</w:t>
      </w:r>
      <w:r>
        <w:rPr>
          <w:rFonts w:hint="eastAsia"/>
          <w:spacing w:val="-38"/>
          <w:sz w:val="32"/>
          <w:szCs w:val="32"/>
        </w:rPr>
        <w:t>片区</w:t>
      </w:r>
      <w:r>
        <w:rPr>
          <w:rFonts w:hint="eastAsia"/>
          <w:spacing w:val="-38"/>
          <w:sz w:val="32"/>
          <w:szCs w:val="32"/>
          <w:lang w:eastAsia="zh-CN"/>
        </w:rPr>
        <w:t>）</w:t>
      </w:r>
      <w:r>
        <w:rPr>
          <w:rFonts w:hint="eastAsia"/>
          <w:spacing w:val="-38"/>
          <w:sz w:val="32"/>
          <w:szCs w:val="32"/>
        </w:rPr>
        <w:t>建设成为世界唯一的泉城文化旅游目的地，重点发展文化旅游产业，着力打造集文化传承、休闲娱乐、观光体验于一体的特色城市更新街区，实现齐鲁文化生态保护区、中央泉水体验区、创意产业集聚区、时尚艺术活力区四区合一。</w:t>
      </w:r>
      <w:r>
        <w:rPr>
          <w:sz w:val="32"/>
          <w:szCs w:val="32"/>
        </w:rPr>
        <w:t>成为辐射</w:t>
      </w:r>
      <w:r>
        <w:rPr>
          <w:rFonts w:hint="eastAsia"/>
          <w:sz w:val="32"/>
          <w:szCs w:val="32"/>
          <w:lang w:val="en-US" w:eastAsia="zh-CN"/>
        </w:rPr>
        <w:t>沿黄城市群</w:t>
      </w:r>
      <w:r>
        <w:rPr>
          <w:sz w:val="32"/>
          <w:szCs w:val="32"/>
        </w:rPr>
        <w:t>、面向全世界的</w:t>
      </w:r>
      <w:r>
        <w:rPr>
          <w:rFonts w:hint="eastAsia"/>
          <w:sz w:val="32"/>
          <w:szCs w:val="32"/>
          <w:lang w:val="en-US" w:eastAsia="zh-CN"/>
        </w:rPr>
        <w:t>商旅文</w:t>
      </w:r>
      <w:r>
        <w:rPr>
          <w:sz w:val="32"/>
          <w:szCs w:val="32"/>
        </w:rPr>
        <w:t>城市，成为彰显经济</w:t>
      </w:r>
      <w:r>
        <w:rPr>
          <w:rFonts w:hint="eastAsia"/>
          <w:sz w:val="32"/>
          <w:szCs w:val="32"/>
          <w:lang w:val="en-US" w:eastAsia="zh-CN"/>
        </w:rPr>
        <w:t>文化</w:t>
      </w:r>
      <w:r>
        <w:rPr>
          <w:sz w:val="32"/>
          <w:szCs w:val="32"/>
        </w:rPr>
        <w:t>发展活力、引领全国高质量</w:t>
      </w:r>
      <w:r>
        <w:rPr>
          <w:rFonts w:hint="eastAsia"/>
          <w:sz w:val="32"/>
          <w:szCs w:val="32"/>
          <w:lang w:val="en-US" w:eastAsia="zh-CN"/>
        </w:rPr>
        <w:t>城市更新</w:t>
      </w:r>
      <w:r>
        <w:rPr>
          <w:sz w:val="32"/>
          <w:szCs w:val="32"/>
        </w:rPr>
        <w:t>的典型样板。</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515" w:firstLine="640" w:firstLineChars="200"/>
        <w:textAlignment w:val="auto"/>
      </w:pPr>
      <w:r>
        <w:rPr>
          <w:sz w:val="32"/>
          <w:szCs w:val="32"/>
        </w:rPr>
        <w:t>根据</w:t>
      </w:r>
      <w:r>
        <w:rPr>
          <w:rFonts w:hint="eastAsia"/>
          <w:sz w:val="32"/>
          <w:szCs w:val="32"/>
          <w:lang w:val="en-US" w:eastAsia="zh-CN"/>
        </w:rPr>
        <w:t>济南古城（明府城片区）城市更新</w:t>
      </w:r>
      <w:r>
        <w:rPr>
          <w:sz w:val="32"/>
          <w:szCs w:val="32"/>
        </w:rPr>
        <w:t>发展愿景，结合项目推进计划，提出如下具体发展指标任务：</w:t>
      </w:r>
    </w:p>
    <w:tbl>
      <w:tblPr>
        <w:tblStyle w:val="13"/>
        <w:tblW w:w="0" w:type="auto"/>
        <w:tblInd w:w="197" w:type="dxa"/>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Layout w:type="fixed"/>
        <w:tblCellMar>
          <w:top w:w="0" w:type="dxa"/>
          <w:left w:w="0" w:type="dxa"/>
          <w:bottom w:w="0" w:type="dxa"/>
          <w:right w:w="0" w:type="dxa"/>
        </w:tblCellMar>
      </w:tblPr>
      <w:tblGrid>
        <w:gridCol w:w="4530"/>
        <w:gridCol w:w="994"/>
        <w:gridCol w:w="992"/>
        <w:gridCol w:w="1067"/>
        <w:gridCol w:w="910"/>
      </w:tblGrid>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504" w:hRule="atLeast"/>
        </w:trPr>
        <w:tc>
          <w:tcPr>
            <w:tcW w:w="8493" w:type="dxa"/>
            <w:gridSpan w:val="5"/>
            <w:tcBorders>
              <w:left w:val="nil"/>
              <w:bottom w:val="nil"/>
              <w:right w:val="nil"/>
            </w:tcBorders>
            <w:shd w:val="clear" w:color="auto" w:fill="0081C5"/>
          </w:tcPr>
          <w:p>
            <w:pPr>
              <w:pStyle w:val="17"/>
              <w:tabs>
                <w:tab w:val="left" w:pos="1149"/>
              </w:tabs>
              <w:spacing w:before="17"/>
              <w:ind w:left="6"/>
              <w:jc w:val="center"/>
              <w:rPr>
                <w:rFonts w:hint="eastAsia" w:ascii="微软雅黑" w:eastAsia="微软雅黑"/>
                <w:b/>
                <w:sz w:val="24"/>
              </w:rPr>
            </w:pPr>
            <w:r>
              <w:rPr>
                <w:rFonts w:hint="eastAsia" w:ascii="楷体" w:eastAsia="楷体"/>
                <w:b/>
                <w:color w:val="FFFFFF"/>
                <w:sz w:val="24"/>
              </w:rPr>
              <w:t>专栏</w:t>
            </w:r>
            <w:r>
              <w:rPr>
                <w:rFonts w:hint="eastAsia" w:ascii="楷体" w:eastAsia="楷体"/>
                <w:b/>
                <w:color w:val="FFFFFF"/>
                <w:spacing w:val="-59"/>
                <w:sz w:val="24"/>
              </w:rPr>
              <w:t xml:space="preserve"> </w:t>
            </w:r>
            <w:r>
              <w:rPr>
                <w:rFonts w:ascii="Times New Roman" w:eastAsia="Times New Roman"/>
                <w:b/>
                <w:color w:val="FFFFFF"/>
                <w:sz w:val="24"/>
              </w:rPr>
              <w:t>2-1</w:t>
            </w:r>
            <w:r>
              <w:rPr>
                <w:rFonts w:ascii="Times New Roman" w:eastAsia="Times New Roman"/>
                <w:b/>
                <w:color w:val="FFFFFF"/>
                <w:sz w:val="24"/>
              </w:rPr>
              <w:tab/>
            </w:r>
            <w:r>
              <w:rPr>
                <w:rFonts w:hint="eastAsia" w:ascii="微软雅黑" w:eastAsia="微软雅黑"/>
                <w:b/>
                <w:color w:val="FFFFFF"/>
                <w:sz w:val="24"/>
                <w:lang w:val="en-US" w:eastAsia="zh-CN"/>
              </w:rPr>
              <w:t>济南古城（明府城片区）城市更新</w:t>
            </w:r>
            <w:r>
              <w:rPr>
                <w:rFonts w:hint="eastAsia" w:ascii="微软雅黑" w:eastAsia="微软雅黑"/>
                <w:b/>
                <w:color w:val="FFFFFF"/>
                <w:sz w:val="24"/>
              </w:rPr>
              <w:t>主要指标</w:t>
            </w: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403" w:hRule="atLeast"/>
        </w:trPr>
        <w:tc>
          <w:tcPr>
            <w:tcW w:w="4530" w:type="dxa"/>
            <w:tcBorders>
              <w:top w:val="nil"/>
              <w:left w:val="single" w:color="B0B3B6" w:sz="6" w:space="0"/>
              <w:bottom w:val="single" w:color="99B6DC" w:sz="18" w:space="0"/>
              <w:right w:val="single" w:color="AFDAED" w:sz="6" w:space="0"/>
            </w:tcBorders>
            <w:shd w:val="clear" w:color="auto" w:fill="E0F4FC"/>
          </w:tcPr>
          <w:p>
            <w:pPr>
              <w:pStyle w:val="17"/>
              <w:tabs>
                <w:tab w:val="left" w:pos="438"/>
              </w:tabs>
              <w:spacing w:before="13" w:line="370" w:lineRule="exact"/>
              <w:ind w:left="16"/>
              <w:jc w:val="center"/>
              <w:rPr>
                <w:rFonts w:hint="eastAsia" w:ascii="微软雅黑" w:eastAsia="微软雅黑"/>
                <w:b/>
                <w:sz w:val="21"/>
              </w:rPr>
            </w:pPr>
            <w:r>
              <w:rPr>
                <w:rFonts w:hint="eastAsia" w:ascii="微软雅黑" w:eastAsia="微软雅黑"/>
                <w:b/>
                <w:color w:val="17365D"/>
                <w:sz w:val="21"/>
              </w:rPr>
              <w:t>指</w:t>
            </w:r>
            <w:r>
              <w:rPr>
                <w:rFonts w:hint="eastAsia" w:ascii="微软雅黑" w:eastAsia="微软雅黑"/>
                <w:b/>
                <w:color w:val="17365D"/>
                <w:sz w:val="21"/>
              </w:rPr>
              <w:tab/>
            </w:r>
            <w:r>
              <w:rPr>
                <w:rFonts w:hint="eastAsia" w:ascii="微软雅黑" w:eastAsia="微软雅黑"/>
                <w:b/>
                <w:color w:val="17365D"/>
                <w:sz w:val="21"/>
              </w:rPr>
              <w:t>标</w:t>
            </w:r>
          </w:p>
        </w:tc>
        <w:tc>
          <w:tcPr>
            <w:tcW w:w="994" w:type="dxa"/>
            <w:tcBorders>
              <w:top w:val="nil"/>
              <w:left w:val="single" w:color="AFDAED" w:sz="6" w:space="0"/>
              <w:bottom w:val="single" w:color="99B6DC" w:sz="18" w:space="0"/>
              <w:right w:val="single" w:color="AFDAED" w:sz="6" w:space="0"/>
            </w:tcBorders>
            <w:shd w:val="clear" w:color="auto" w:fill="E0F4FC"/>
          </w:tcPr>
          <w:p>
            <w:pPr>
              <w:pStyle w:val="17"/>
              <w:spacing w:before="13" w:line="370" w:lineRule="exact"/>
              <w:ind w:left="155"/>
              <w:rPr>
                <w:rFonts w:hint="eastAsia" w:ascii="微软雅黑" w:eastAsia="微软雅黑"/>
                <w:b/>
                <w:sz w:val="21"/>
              </w:rPr>
            </w:pPr>
            <w:r>
              <w:rPr>
                <w:rFonts w:ascii="Times New Roman" w:eastAsia="Times New Roman"/>
                <w:b/>
                <w:color w:val="17365D"/>
                <w:sz w:val="21"/>
              </w:rPr>
              <w:t>20</w:t>
            </w:r>
            <w:r>
              <w:rPr>
                <w:rFonts w:hint="eastAsia" w:ascii="Times New Roman"/>
                <w:b/>
                <w:color w:val="17365D"/>
                <w:sz w:val="21"/>
                <w:lang w:val="en-US" w:eastAsia="zh-CN"/>
              </w:rPr>
              <w:t>21</w:t>
            </w:r>
            <w:r>
              <w:rPr>
                <w:rFonts w:ascii="Times New Roman" w:eastAsia="Times New Roman"/>
                <w:b/>
                <w:color w:val="17365D"/>
                <w:sz w:val="21"/>
              </w:rPr>
              <w:t xml:space="preserve"> </w:t>
            </w:r>
            <w:r>
              <w:rPr>
                <w:rFonts w:hint="eastAsia" w:ascii="微软雅黑" w:eastAsia="微软雅黑"/>
                <w:b/>
                <w:color w:val="17365D"/>
                <w:sz w:val="21"/>
              </w:rPr>
              <w:t>年</w:t>
            </w:r>
          </w:p>
        </w:tc>
        <w:tc>
          <w:tcPr>
            <w:tcW w:w="992" w:type="dxa"/>
            <w:tcBorders>
              <w:top w:val="nil"/>
              <w:left w:val="single" w:color="AFDAED" w:sz="6" w:space="0"/>
              <w:bottom w:val="single" w:color="99B6DC" w:sz="18" w:space="0"/>
              <w:right w:val="single" w:color="AFDAED" w:sz="6" w:space="0"/>
            </w:tcBorders>
            <w:shd w:val="clear" w:color="auto" w:fill="E0F4FC"/>
          </w:tcPr>
          <w:p>
            <w:pPr>
              <w:pStyle w:val="17"/>
              <w:spacing w:before="13" w:line="370" w:lineRule="exact"/>
              <w:ind w:left="152"/>
              <w:rPr>
                <w:rFonts w:hint="eastAsia" w:ascii="微软雅黑" w:eastAsia="微软雅黑"/>
                <w:b/>
                <w:sz w:val="21"/>
              </w:rPr>
            </w:pPr>
            <w:r>
              <w:rPr>
                <w:rFonts w:ascii="Times New Roman" w:eastAsia="Times New Roman"/>
                <w:b/>
                <w:color w:val="17365D"/>
                <w:sz w:val="21"/>
              </w:rPr>
              <w:t xml:space="preserve">2025 </w:t>
            </w:r>
            <w:r>
              <w:rPr>
                <w:rFonts w:hint="eastAsia" w:ascii="微软雅黑" w:eastAsia="微软雅黑"/>
                <w:b/>
                <w:color w:val="17365D"/>
                <w:sz w:val="21"/>
              </w:rPr>
              <w:t>年</w:t>
            </w:r>
          </w:p>
        </w:tc>
        <w:tc>
          <w:tcPr>
            <w:tcW w:w="1067" w:type="dxa"/>
            <w:tcBorders>
              <w:top w:val="nil"/>
              <w:left w:val="single" w:color="AFDAED" w:sz="6" w:space="0"/>
              <w:bottom w:val="single" w:color="99B6DC" w:sz="18" w:space="0"/>
              <w:right w:val="single" w:color="AFDAED" w:sz="6" w:space="0"/>
            </w:tcBorders>
            <w:shd w:val="clear" w:color="auto" w:fill="E0F4FC"/>
          </w:tcPr>
          <w:p>
            <w:pPr>
              <w:pStyle w:val="17"/>
              <w:spacing w:before="13" w:line="370" w:lineRule="exact"/>
              <w:ind w:left="190"/>
              <w:rPr>
                <w:rFonts w:hint="eastAsia" w:ascii="微软雅黑" w:eastAsia="微软雅黑"/>
                <w:b/>
                <w:sz w:val="21"/>
              </w:rPr>
            </w:pPr>
          </w:p>
        </w:tc>
        <w:tc>
          <w:tcPr>
            <w:tcW w:w="910" w:type="dxa"/>
            <w:tcBorders>
              <w:top w:val="nil"/>
              <w:left w:val="single" w:color="AFDAED" w:sz="6" w:space="0"/>
              <w:bottom w:val="single" w:color="99B6DC" w:sz="18" w:space="0"/>
              <w:right w:val="single" w:color="B0B3B6" w:sz="6" w:space="0"/>
            </w:tcBorders>
            <w:shd w:val="clear" w:color="auto" w:fill="E0F4FC"/>
          </w:tcPr>
          <w:p>
            <w:pPr>
              <w:pStyle w:val="17"/>
              <w:spacing w:before="13" w:line="370" w:lineRule="exact"/>
              <w:ind w:left="239"/>
              <w:rPr>
                <w:rFonts w:hint="eastAsia" w:ascii="微软雅黑" w:eastAsia="微软雅黑"/>
                <w:b/>
                <w:sz w:val="21"/>
              </w:rPr>
            </w:pP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313" w:hRule="atLeast"/>
        </w:trPr>
        <w:tc>
          <w:tcPr>
            <w:tcW w:w="4530" w:type="dxa"/>
            <w:tcBorders>
              <w:top w:val="single" w:color="AFDAED" w:sz="6" w:space="0"/>
              <w:left w:val="single" w:color="B0B3B6" w:sz="6" w:space="0"/>
              <w:bottom w:val="single" w:color="AFDAED" w:sz="6" w:space="0"/>
              <w:right w:val="single" w:color="AFDAED" w:sz="6" w:space="0"/>
            </w:tcBorders>
            <w:shd w:val="clear" w:color="auto" w:fill="E0F4FC"/>
          </w:tcPr>
          <w:p>
            <w:pPr>
              <w:pStyle w:val="17"/>
              <w:spacing w:before="40"/>
              <w:ind w:left="107"/>
              <w:rPr>
                <w:rFonts w:hint="default" w:eastAsia="宋体"/>
                <w:b/>
                <w:sz w:val="18"/>
                <w:lang w:val="en-US" w:eastAsia="zh-CN"/>
              </w:rPr>
            </w:pPr>
            <w:r>
              <w:rPr>
                <w:b/>
                <w:color w:val="0081C5"/>
                <w:sz w:val="18"/>
              </w:rPr>
              <w:t>城市</w:t>
            </w:r>
            <w:r>
              <w:rPr>
                <w:rFonts w:hint="eastAsia"/>
                <w:b/>
                <w:color w:val="0081C5"/>
                <w:sz w:val="18"/>
                <w:lang w:val="en-US" w:eastAsia="zh-CN"/>
              </w:rPr>
              <w:t>更新建设</w:t>
            </w:r>
          </w:p>
        </w:tc>
        <w:tc>
          <w:tcPr>
            <w:tcW w:w="994"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92"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1067"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10" w:type="dxa"/>
            <w:tcBorders>
              <w:top w:val="single" w:color="AFDAED" w:sz="6" w:space="0"/>
              <w:left w:val="single" w:color="AFDAED" w:sz="6" w:space="0"/>
              <w:bottom w:val="single" w:color="AFDAED" w:sz="6" w:space="0"/>
              <w:right w:val="single" w:color="B0B3B6" w:sz="6" w:space="0"/>
            </w:tcBorders>
            <w:shd w:val="clear" w:color="auto" w:fill="E0F4FC"/>
          </w:tcPr>
          <w:p>
            <w:pPr>
              <w:pStyle w:val="17"/>
              <w:rPr>
                <w:rFonts w:ascii="Times New Roman"/>
                <w:sz w:val="18"/>
              </w:rPr>
            </w:pP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297" w:hRule="atLeast"/>
        </w:trPr>
        <w:tc>
          <w:tcPr>
            <w:tcW w:w="4530" w:type="dxa"/>
            <w:tcBorders>
              <w:top w:val="single" w:color="AFDAED" w:sz="6" w:space="0"/>
              <w:left w:val="single" w:color="B0B3B6" w:sz="6" w:space="0"/>
              <w:bottom w:val="single" w:color="AFDAED" w:sz="6" w:space="0"/>
              <w:right w:val="single" w:color="AFDAED" w:sz="6" w:space="0"/>
            </w:tcBorders>
            <w:shd w:val="clear" w:color="auto" w:fill="E0F4FC"/>
          </w:tcPr>
          <w:p>
            <w:pPr>
              <w:pStyle w:val="17"/>
              <w:spacing w:before="33"/>
              <w:ind w:left="467"/>
              <w:rPr>
                <w:rFonts w:hint="default"/>
                <w:sz w:val="18"/>
                <w:lang w:val="en-US" w:eastAsia="zh-CN"/>
              </w:rPr>
            </w:pPr>
            <w:r>
              <w:rPr>
                <w:rFonts w:hint="eastAsia"/>
                <w:sz w:val="18"/>
                <w:lang w:val="en-US" w:eastAsia="zh-CN"/>
              </w:rPr>
              <w:t>征收户数（户）</w:t>
            </w:r>
          </w:p>
        </w:tc>
        <w:tc>
          <w:tcPr>
            <w:tcW w:w="994"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92"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hint="default" w:ascii="Times New Roman" w:eastAsia="宋体"/>
                <w:sz w:val="18"/>
                <w:lang w:val="en-US" w:eastAsia="zh-CN"/>
              </w:rPr>
            </w:pPr>
            <w:r>
              <w:rPr>
                <w:rFonts w:hint="eastAsia" w:ascii="Times New Roman"/>
                <w:sz w:val="18"/>
                <w:lang w:val="en-US" w:eastAsia="zh-CN"/>
              </w:rPr>
              <w:t>1843</w:t>
            </w:r>
          </w:p>
        </w:tc>
        <w:tc>
          <w:tcPr>
            <w:tcW w:w="1067"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10" w:type="dxa"/>
            <w:tcBorders>
              <w:top w:val="single" w:color="AFDAED" w:sz="6" w:space="0"/>
              <w:left w:val="single" w:color="AFDAED" w:sz="6" w:space="0"/>
              <w:bottom w:val="single" w:color="AFDAED" w:sz="6" w:space="0"/>
              <w:right w:val="single" w:color="B0B3B6" w:sz="6" w:space="0"/>
            </w:tcBorders>
            <w:shd w:val="clear" w:color="auto" w:fill="E0F4FC"/>
          </w:tcPr>
          <w:p>
            <w:pPr>
              <w:pStyle w:val="17"/>
              <w:rPr>
                <w:rFonts w:ascii="Times New Roman"/>
                <w:sz w:val="18"/>
              </w:rPr>
            </w:pP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297" w:hRule="atLeast"/>
        </w:trPr>
        <w:tc>
          <w:tcPr>
            <w:tcW w:w="4530" w:type="dxa"/>
            <w:tcBorders>
              <w:top w:val="single" w:color="AFDAED" w:sz="6" w:space="0"/>
              <w:left w:val="single" w:color="B0B3B6" w:sz="6" w:space="0"/>
              <w:bottom w:val="single" w:color="AFDAED" w:sz="6" w:space="0"/>
              <w:right w:val="single" w:color="AFDAED" w:sz="6" w:space="0"/>
            </w:tcBorders>
            <w:shd w:val="clear" w:color="auto" w:fill="E0F4FC"/>
          </w:tcPr>
          <w:p>
            <w:pPr>
              <w:pStyle w:val="17"/>
              <w:spacing w:before="33"/>
              <w:ind w:left="467"/>
              <w:rPr>
                <w:rFonts w:hint="default"/>
                <w:sz w:val="18"/>
                <w:lang w:val="en-US" w:eastAsia="zh-CN"/>
              </w:rPr>
            </w:pPr>
            <w:r>
              <w:rPr>
                <w:rFonts w:hint="eastAsia"/>
                <w:sz w:val="18"/>
                <w:lang w:val="en-US" w:eastAsia="zh-CN"/>
              </w:rPr>
              <w:t>征收面积</w:t>
            </w:r>
            <w:r>
              <w:rPr>
                <w:sz w:val="18"/>
              </w:rPr>
              <w:t>（</w:t>
            </w:r>
            <w:r>
              <w:rPr>
                <w:rFonts w:ascii="Times New Roman" w:eastAsia="Times New Roman"/>
                <w:sz w:val="18"/>
              </w:rPr>
              <w:t>m</w:t>
            </w:r>
            <w:r>
              <w:rPr>
                <w:rFonts w:ascii="Times New Roman" w:eastAsia="Times New Roman"/>
                <w:position w:val="6"/>
                <w:sz w:val="12"/>
              </w:rPr>
              <w:t>2</w:t>
            </w:r>
            <w:r>
              <w:rPr>
                <w:sz w:val="18"/>
              </w:rPr>
              <w:t>）</w:t>
            </w:r>
          </w:p>
        </w:tc>
        <w:tc>
          <w:tcPr>
            <w:tcW w:w="994"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92"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hint="default" w:ascii="Times New Roman" w:eastAsia="宋体"/>
                <w:sz w:val="18"/>
                <w:lang w:val="en-US" w:eastAsia="zh-CN"/>
              </w:rPr>
            </w:pPr>
            <w:r>
              <w:rPr>
                <w:rFonts w:hint="eastAsia" w:ascii="Times New Roman"/>
                <w:sz w:val="18"/>
                <w:lang w:val="en-US" w:eastAsia="zh-CN"/>
              </w:rPr>
              <w:t>110295</w:t>
            </w:r>
          </w:p>
        </w:tc>
        <w:tc>
          <w:tcPr>
            <w:tcW w:w="1067"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10" w:type="dxa"/>
            <w:tcBorders>
              <w:top w:val="single" w:color="AFDAED" w:sz="6" w:space="0"/>
              <w:left w:val="single" w:color="AFDAED" w:sz="6" w:space="0"/>
              <w:bottom w:val="single" w:color="AFDAED" w:sz="6" w:space="0"/>
              <w:right w:val="single" w:color="B0B3B6" w:sz="6" w:space="0"/>
            </w:tcBorders>
            <w:shd w:val="clear" w:color="auto" w:fill="E0F4FC"/>
          </w:tcPr>
          <w:p>
            <w:pPr>
              <w:pStyle w:val="17"/>
              <w:rPr>
                <w:rFonts w:ascii="Times New Roman"/>
                <w:sz w:val="18"/>
              </w:rPr>
            </w:pP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297" w:hRule="atLeast"/>
        </w:trPr>
        <w:tc>
          <w:tcPr>
            <w:tcW w:w="4530" w:type="dxa"/>
            <w:tcBorders>
              <w:top w:val="single" w:color="AFDAED" w:sz="6" w:space="0"/>
              <w:left w:val="single" w:color="B0B3B6" w:sz="6" w:space="0"/>
              <w:bottom w:val="single" w:color="AFDAED" w:sz="6" w:space="0"/>
              <w:right w:val="single" w:color="AFDAED" w:sz="6" w:space="0"/>
            </w:tcBorders>
            <w:shd w:val="clear" w:color="auto" w:fill="E0F4FC"/>
          </w:tcPr>
          <w:p>
            <w:pPr>
              <w:pStyle w:val="17"/>
              <w:spacing w:before="33"/>
              <w:ind w:left="467"/>
              <w:rPr>
                <w:sz w:val="18"/>
              </w:rPr>
            </w:pPr>
            <w:r>
              <w:rPr>
                <w:rFonts w:hint="eastAsia"/>
                <w:sz w:val="18"/>
                <w:lang w:val="en-US" w:eastAsia="zh-CN"/>
              </w:rPr>
              <w:t>修缮</w:t>
            </w:r>
            <w:r>
              <w:rPr>
                <w:sz w:val="18"/>
              </w:rPr>
              <w:t>面积（</w:t>
            </w:r>
            <w:r>
              <w:rPr>
                <w:rFonts w:ascii="Times New Roman" w:eastAsia="Times New Roman"/>
                <w:sz w:val="18"/>
              </w:rPr>
              <w:t>m</w:t>
            </w:r>
            <w:r>
              <w:rPr>
                <w:rFonts w:ascii="Times New Roman" w:eastAsia="Times New Roman"/>
                <w:position w:val="6"/>
                <w:sz w:val="12"/>
              </w:rPr>
              <w:t>2</w:t>
            </w:r>
            <w:r>
              <w:rPr>
                <w:sz w:val="18"/>
              </w:rPr>
              <w:t>）</w:t>
            </w:r>
          </w:p>
        </w:tc>
        <w:tc>
          <w:tcPr>
            <w:tcW w:w="994"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92"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hint="default" w:ascii="Times New Roman" w:eastAsia="宋体"/>
                <w:sz w:val="18"/>
                <w:lang w:val="en-US" w:eastAsia="zh-CN"/>
              </w:rPr>
            </w:pPr>
            <w:r>
              <w:rPr>
                <w:rFonts w:hint="eastAsia" w:ascii="Times New Roman"/>
                <w:sz w:val="18"/>
                <w:lang w:val="en-US" w:eastAsia="zh-CN"/>
              </w:rPr>
              <w:t>76067</w:t>
            </w:r>
          </w:p>
        </w:tc>
        <w:tc>
          <w:tcPr>
            <w:tcW w:w="1067"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10" w:type="dxa"/>
            <w:tcBorders>
              <w:top w:val="single" w:color="AFDAED" w:sz="6" w:space="0"/>
              <w:left w:val="single" w:color="AFDAED" w:sz="6" w:space="0"/>
              <w:bottom w:val="single" w:color="AFDAED" w:sz="6" w:space="0"/>
              <w:right w:val="single" w:color="B0B3B6" w:sz="6" w:space="0"/>
            </w:tcBorders>
            <w:shd w:val="clear" w:color="auto" w:fill="E0F4FC"/>
          </w:tcPr>
          <w:p>
            <w:pPr>
              <w:pStyle w:val="17"/>
              <w:rPr>
                <w:rFonts w:ascii="Times New Roman"/>
                <w:sz w:val="18"/>
              </w:rPr>
            </w:pP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297" w:hRule="atLeast"/>
        </w:trPr>
        <w:tc>
          <w:tcPr>
            <w:tcW w:w="4530" w:type="dxa"/>
            <w:tcBorders>
              <w:top w:val="single" w:color="AFDAED" w:sz="6" w:space="0"/>
              <w:left w:val="single" w:color="B0B3B6" w:sz="6" w:space="0"/>
              <w:bottom w:val="single" w:color="AFDAED" w:sz="6" w:space="0"/>
              <w:right w:val="single" w:color="AFDAED" w:sz="6" w:space="0"/>
            </w:tcBorders>
            <w:shd w:val="clear" w:color="auto" w:fill="E0F4FC"/>
          </w:tcPr>
          <w:p>
            <w:pPr>
              <w:pStyle w:val="17"/>
              <w:spacing w:before="33"/>
              <w:ind w:left="467"/>
              <w:rPr>
                <w:rFonts w:hint="default" w:eastAsia="宋体"/>
                <w:sz w:val="18"/>
                <w:lang w:val="en-US" w:eastAsia="zh-CN"/>
              </w:rPr>
            </w:pPr>
            <w:r>
              <w:rPr>
                <w:rFonts w:hint="eastAsia"/>
                <w:sz w:val="18"/>
                <w:lang w:val="en-US" w:eastAsia="zh-CN"/>
              </w:rPr>
              <w:t>新建面积</w:t>
            </w:r>
            <w:r>
              <w:rPr>
                <w:sz w:val="18"/>
              </w:rPr>
              <w:t>（</w:t>
            </w:r>
            <w:r>
              <w:rPr>
                <w:rFonts w:ascii="Times New Roman" w:eastAsia="Times New Roman"/>
                <w:sz w:val="18"/>
              </w:rPr>
              <w:t>m</w:t>
            </w:r>
            <w:r>
              <w:rPr>
                <w:rFonts w:ascii="Times New Roman" w:eastAsia="Times New Roman"/>
                <w:position w:val="6"/>
                <w:sz w:val="12"/>
              </w:rPr>
              <w:t>2</w:t>
            </w:r>
            <w:r>
              <w:rPr>
                <w:sz w:val="18"/>
              </w:rPr>
              <w:t>）</w:t>
            </w:r>
          </w:p>
        </w:tc>
        <w:tc>
          <w:tcPr>
            <w:tcW w:w="994"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92"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hint="default" w:ascii="Times New Roman" w:eastAsia="宋体"/>
                <w:sz w:val="18"/>
                <w:lang w:val="en-US" w:eastAsia="zh-CN"/>
              </w:rPr>
            </w:pPr>
            <w:r>
              <w:rPr>
                <w:rFonts w:hint="eastAsia" w:ascii="Times New Roman"/>
                <w:sz w:val="18"/>
                <w:lang w:val="en-US" w:eastAsia="zh-CN"/>
              </w:rPr>
              <w:t>9186</w:t>
            </w:r>
          </w:p>
        </w:tc>
        <w:tc>
          <w:tcPr>
            <w:tcW w:w="1067"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10" w:type="dxa"/>
            <w:tcBorders>
              <w:top w:val="single" w:color="AFDAED" w:sz="6" w:space="0"/>
              <w:left w:val="single" w:color="AFDAED" w:sz="6" w:space="0"/>
              <w:bottom w:val="single" w:color="AFDAED" w:sz="6" w:space="0"/>
              <w:right w:val="single" w:color="B0B3B6" w:sz="6" w:space="0"/>
            </w:tcBorders>
            <w:shd w:val="clear" w:color="auto" w:fill="E0F4FC"/>
          </w:tcPr>
          <w:p>
            <w:pPr>
              <w:pStyle w:val="17"/>
              <w:rPr>
                <w:rFonts w:ascii="Times New Roman"/>
                <w:sz w:val="18"/>
              </w:rPr>
            </w:pPr>
          </w:p>
        </w:tc>
      </w:tr>
      <w:tr>
        <w:tblPrEx>
          <w:tblBorders>
            <w:top w:val="single" w:color="ECF3EB" w:sz="2" w:space="0"/>
            <w:left w:val="single" w:color="ECF3EB" w:sz="2" w:space="0"/>
            <w:bottom w:val="single" w:color="ECF3EB" w:sz="2" w:space="0"/>
            <w:right w:val="single" w:color="ECF3EB" w:sz="2" w:space="0"/>
            <w:insideH w:val="single" w:color="ECF3EB" w:sz="2" w:space="0"/>
            <w:insideV w:val="single" w:color="ECF3EB" w:sz="2" w:space="0"/>
          </w:tblBorders>
          <w:tblCellMar>
            <w:top w:w="0" w:type="dxa"/>
            <w:left w:w="0" w:type="dxa"/>
            <w:bottom w:w="0" w:type="dxa"/>
            <w:right w:w="0" w:type="dxa"/>
          </w:tblCellMar>
        </w:tblPrEx>
        <w:trPr>
          <w:trHeight w:val="90" w:hRule="atLeast"/>
        </w:trPr>
        <w:tc>
          <w:tcPr>
            <w:tcW w:w="4530" w:type="dxa"/>
            <w:tcBorders>
              <w:top w:val="single" w:color="AFDAED" w:sz="6" w:space="0"/>
              <w:left w:val="single" w:color="B0B3B6" w:sz="6" w:space="0"/>
              <w:bottom w:val="single" w:color="AFDAED" w:sz="6" w:space="0"/>
              <w:right w:val="single" w:color="AFDAED" w:sz="6" w:space="0"/>
            </w:tcBorders>
            <w:shd w:val="clear" w:color="auto" w:fill="E0F4FC"/>
          </w:tcPr>
          <w:p>
            <w:pPr>
              <w:pStyle w:val="17"/>
              <w:spacing w:before="34"/>
              <w:ind w:left="467"/>
              <w:rPr>
                <w:sz w:val="18"/>
              </w:rPr>
            </w:pPr>
            <w:r>
              <w:rPr>
                <w:rFonts w:hint="eastAsia"/>
                <w:sz w:val="18"/>
                <w:lang w:val="en-US" w:eastAsia="zh-CN"/>
              </w:rPr>
              <w:t>拆除面积</w:t>
            </w:r>
            <w:r>
              <w:rPr>
                <w:sz w:val="18"/>
              </w:rPr>
              <w:t>（</w:t>
            </w:r>
            <w:r>
              <w:rPr>
                <w:rFonts w:ascii="Times New Roman" w:eastAsia="Times New Roman"/>
                <w:sz w:val="18"/>
              </w:rPr>
              <w:t>m</w:t>
            </w:r>
            <w:r>
              <w:rPr>
                <w:rFonts w:ascii="Times New Roman" w:eastAsia="Times New Roman"/>
                <w:position w:val="6"/>
                <w:sz w:val="12"/>
              </w:rPr>
              <w:t>2</w:t>
            </w:r>
            <w:r>
              <w:rPr>
                <w:sz w:val="18"/>
              </w:rPr>
              <w:t>）</w:t>
            </w:r>
          </w:p>
        </w:tc>
        <w:tc>
          <w:tcPr>
            <w:tcW w:w="994"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92"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hint="default" w:ascii="Times New Roman" w:eastAsia="宋体"/>
                <w:sz w:val="18"/>
                <w:lang w:val="en-US" w:eastAsia="zh-CN"/>
              </w:rPr>
            </w:pPr>
            <w:r>
              <w:rPr>
                <w:rFonts w:hint="eastAsia" w:ascii="Times New Roman"/>
                <w:sz w:val="18"/>
                <w:lang w:val="en-US" w:eastAsia="zh-CN"/>
              </w:rPr>
              <w:t>13739</w:t>
            </w:r>
          </w:p>
        </w:tc>
        <w:tc>
          <w:tcPr>
            <w:tcW w:w="1067" w:type="dxa"/>
            <w:tcBorders>
              <w:top w:val="single" w:color="AFDAED" w:sz="6" w:space="0"/>
              <w:left w:val="single" w:color="AFDAED" w:sz="6" w:space="0"/>
              <w:bottom w:val="single" w:color="AFDAED" w:sz="6" w:space="0"/>
              <w:right w:val="single" w:color="AFDAED" w:sz="6" w:space="0"/>
            </w:tcBorders>
            <w:shd w:val="clear" w:color="auto" w:fill="E0F4FC"/>
          </w:tcPr>
          <w:p>
            <w:pPr>
              <w:pStyle w:val="17"/>
              <w:rPr>
                <w:rFonts w:ascii="Times New Roman"/>
                <w:sz w:val="18"/>
              </w:rPr>
            </w:pPr>
          </w:p>
        </w:tc>
        <w:tc>
          <w:tcPr>
            <w:tcW w:w="910" w:type="dxa"/>
            <w:tcBorders>
              <w:top w:val="single" w:color="AFDAED" w:sz="6" w:space="0"/>
              <w:left w:val="single" w:color="AFDAED" w:sz="6" w:space="0"/>
              <w:bottom w:val="single" w:color="AFDAED" w:sz="6" w:space="0"/>
              <w:right w:val="single" w:color="B0B3B6" w:sz="6" w:space="0"/>
            </w:tcBorders>
            <w:shd w:val="clear" w:color="auto" w:fill="E0F4FC"/>
          </w:tcPr>
          <w:p>
            <w:pPr>
              <w:pStyle w:val="17"/>
              <w:rPr>
                <w:rFonts w:ascii="Times New Roman"/>
                <w:sz w:val="18"/>
              </w:rPr>
            </w:pPr>
          </w:p>
        </w:tc>
      </w:tr>
    </w:tbl>
    <w:p>
      <w:pPr>
        <w:spacing w:after="0"/>
        <w:rPr>
          <w:rFonts w:ascii="Times New Roman"/>
          <w:sz w:val="18"/>
        </w:rPr>
        <w:sectPr>
          <w:pgSz w:w="11910" w:h="16840"/>
          <w:pgMar w:top="1400" w:right="1180" w:bottom="1300" w:left="1520" w:header="0" w:footer="1116" w:gutter="0"/>
          <w:cols w:space="720" w:num="1"/>
        </w:sectPr>
      </w:pPr>
    </w:p>
    <w:p>
      <w:pPr>
        <w:pStyle w:val="3"/>
        <w:spacing w:before="48"/>
        <w:ind w:right="336"/>
        <w:jc w:val="center"/>
      </w:pPr>
      <w:bookmarkStart w:id="9" w:name="_Toc16601"/>
      <w:r>
        <w:t>第三章 构建精致高效的空间格局</w:t>
      </w:r>
      <w:bookmarkEnd w:id="9"/>
    </w:p>
    <w:p>
      <w:pPr>
        <w:pStyle w:val="6"/>
        <w:spacing w:before="18"/>
        <w:rPr>
          <w:rFonts w:ascii="微软雅黑"/>
          <w:b/>
          <w:sz w:val="28"/>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510" w:firstLine="612" w:firstLineChars="200"/>
        <w:jc w:val="both"/>
        <w:textAlignment w:val="auto"/>
        <w:rPr>
          <w:rFonts w:hint="eastAsia"/>
          <w:sz w:val="32"/>
          <w:szCs w:val="32"/>
          <w:lang w:eastAsia="zh-CN"/>
        </w:rPr>
      </w:pPr>
      <w:r>
        <w:rPr>
          <w:spacing w:val="-7"/>
          <w:sz w:val="32"/>
          <w:szCs w:val="32"/>
        </w:rPr>
        <w:t>依据现有基础、区域自然环境条件和</w:t>
      </w:r>
      <w:r>
        <w:rPr>
          <w:rFonts w:hint="eastAsia"/>
          <w:spacing w:val="-7"/>
          <w:sz w:val="32"/>
          <w:szCs w:val="32"/>
          <w:lang w:val="en-US" w:eastAsia="zh-CN"/>
        </w:rPr>
        <w:t>济南古城（明府城片区）</w:t>
      </w:r>
      <w:r>
        <w:rPr>
          <w:spacing w:val="-7"/>
          <w:sz w:val="32"/>
          <w:szCs w:val="32"/>
        </w:rPr>
        <w:t>的功能</w:t>
      </w:r>
      <w:r>
        <w:rPr>
          <w:sz w:val="32"/>
          <w:szCs w:val="32"/>
        </w:rPr>
        <w:t>定位，按照整体规划的城市空间发展思路，以更高标准、更宽视野，统筹空间布局，以公共服务、生活居住为主导，以发展文化旅游、创意产业、商业商务等现代服务业、新兴产业为先导</w:t>
      </w:r>
      <w:r>
        <w:rPr>
          <w:rFonts w:hint="eastAsia"/>
          <w:sz w:val="32"/>
          <w:szCs w:val="32"/>
          <w:lang w:eastAsia="zh-CN"/>
        </w:rPr>
        <w:t>，</w:t>
      </w:r>
      <w:r>
        <w:rPr>
          <w:sz w:val="32"/>
          <w:szCs w:val="32"/>
        </w:rPr>
        <w:t>构建“一区、一轴、一圈”的城市空间结构。</w:t>
      </w:r>
      <w:r>
        <w:rPr>
          <w:spacing w:val="-13"/>
          <w:sz w:val="32"/>
          <w:szCs w:val="32"/>
        </w:rPr>
        <w:t>形成</w:t>
      </w:r>
      <w:r>
        <w:rPr>
          <w:rFonts w:hint="eastAsia"/>
          <w:spacing w:val="-13"/>
          <w:sz w:val="32"/>
          <w:szCs w:val="32"/>
          <w:lang w:val="en-US" w:eastAsia="zh-CN"/>
        </w:rPr>
        <w:t>轴</w:t>
      </w:r>
      <w:r>
        <w:rPr>
          <w:spacing w:val="-13"/>
          <w:sz w:val="32"/>
          <w:szCs w:val="32"/>
        </w:rPr>
        <w:t>心引领、</w:t>
      </w:r>
      <w:r>
        <w:rPr>
          <w:rFonts w:hint="eastAsia"/>
          <w:spacing w:val="-13"/>
          <w:sz w:val="32"/>
          <w:szCs w:val="32"/>
          <w:lang w:val="en-US" w:eastAsia="zh-CN"/>
        </w:rPr>
        <w:t>环</w:t>
      </w:r>
      <w:r>
        <w:rPr>
          <w:spacing w:val="-13"/>
          <w:sz w:val="32"/>
          <w:szCs w:val="32"/>
        </w:rPr>
        <w:t>带支</w:t>
      </w:r>
      <w:r>
        <w:rPr>
          <w:sz w:val="32"/>
          <w:szCs w:val="32"/>
        </w:rPr>
        <w:t>撑、功能融合的空间开发格局</w:t>
      </w:r>
      <w:r>
        <w:rPr>
          <w:rFonts w:hint="eastAsia"/>
          <w:sz w:val="32"/>
          <w:szCs w:val="32"/>
          <w:lang w:eastAsia="zh-CN"/>
        </w:rPr>
        <w:t>。</w:t>
      </w:r>
    </w:p>
    <w:p>
      <w:pPr>
        <w:pStyle w:val="4"/>
        <w:numPr>
          <w:ilvl w:val="0"/>
          <w:numId w:val="3"/>
        </w:numPr>
        <w:ind w:right="337"/>
      </w:pPr>
      <w:bookmarkStart w:id="10" w:name="_Toc11464"/>
      <w:r>
        <w:t>构建“一区、一轴、一圈”的空间结构</w:t>
      </w:r>
      <w:bookmarkEnd w:id="10"/>
    </w:p>
    <w:p>
      <w:pPr>
        <w:numPr>
          <w:ilvl w:val="0"/>
          <w:numId w:val="0"/>
        </w:numPr>
        <w:ind w:right="0" w:rightChars="0"/>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0" w:firstLineChars="200"/>
        <w:jc w:val="both"/>
        <w:textAlignment w:val="auto"/>
        <w:rPr>
          <w:rFonts w:hint="eastAsia" w:eastAsia="仿宋_GB2312"/>
          <w:sz w:val="32"/>
          <w:szCs w:val="32"/>
          <w:lang w:eastAsia="zh-CN"/>
        </w:rPr>
      </w:pPr>
      <w:r>
        <w:rPr>
          <w:sz w:val="32"/>
          <w:szCs w:val="32"/>
        </w:rPr>
        <w:t>基于统筹融合的国土空间规划理念，按照产业协同发展、基础设施互联互通、公共服务普惠共享的要求，坚持产城共生，构建特色鲜明、有机互动的“一区、一轴、一圈”的空间发展结构</w:t>
      </w:r>
      <w:r>
        <w:rPr>
          <w:rFonts w:hint="eastAsia"/>
          <w:sz w:val="32"/>
          <w:szCs w:val="32"/>
          <w:lang w:eastAsia="zh-CN"/>
        </w:rPr>
        <w:t>。集中体现“山、泉、湖、河、城”特色风貌的齐鲁文化生态保护区、中央泉水体验区、创意产业集聚区、时尚艺术活力区四区合一。</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0" w:firstLine="659" w:firstLineChars="200"/>
        <w:jc w:val="both"/>
        <w:textAlignment w:val="auto"/>
        <w:rPr>
          <w:rFonts w:hint="default"/>
          <w:sz w:val="32"/>
          <w:szCs w:val="32"/>
          <w:lang w:val="en-US" w:eastAsia="zh-CN"/>
        </w:rPr>
      </w:pPr>
      <w:r>
        <w:rPr>
          <w:b/>
          <w:spacing w:val="4"/>
          <w:sz w:val="32"/>
          <w:szCs w:val="32"/>
        </w:rPr>
        <w:t>一</w:t>
      </w:r>
      <w:r>
        <w:rPr>
          <w:rFonts w:hint="eastAsia"/>
          <w:b/>
          <w:spacing w:val="4"/>
          <w:sz w:val="32"/>
          <w:szCs w:val="32"/>
          <w:lang w:val="en-US" w:eastAsia="zh-CN"/>
        </w:rPr>
        <w:t>区</w:t>
      </w:r>
      <w:r>
        <w:rPr>
          <w:b/>
          <w:spacing w:val="4"/>
          <w:sz w:val="32"/>
          <w:szCs w:val="32"/>
        </w:rPr>
        <w:t>——</w:t>
      </w:r>
      <w:r>
        <w:rPr>
          <w:rFonts w:hint="eastAsia"/>
          <w:b/>
          <w:spacing w:val="4"/>
          <w:sz w:val="32"/>
          <w:szCs w:val="32"/>
          <w:lang w:val="en-US" w:eastAsia="zh-CN"/>
        </w:rPr>
        <w:t>泉城特色标志区</w:t>
      </w:r>
      <w:r>
        <w:rPr>
          <w:b/>
          <w:spacing w:val="4"/>
          <w:sz w:val="32"/>
          <w:szCs w:val="32"/>
        </w:rPr>
        <w:t>。</w:t>
      </w:r>
      <w:r>
        <w:rPr>
          <w:sz w:val="32"/>
          <w:szCs w:val="32"/>
        </w:rPr>
        <w:t>“一区”，指泉城特色标志区作为区域的核心，并呈现“一城、一湖、一环”的结构特点</w:t>
      </w:r>
      <w:r>
        <w:rPr>
          <w:rFonts w:hint="eastAsia"/>
          <w:sz w:val="32"/>
          <w:szCs w:val="32"/>
          <w:lang w:eastAsia="zh-CN"/>
        </w:rPr>
        <w:t>。文化轴与景观轴</w:t>
      </w:r>
      <w:r>
        <w:rPr>
          <w:rFonts w:hint="eastAsia"/>
          <w:sz w:val="32"/>
          <w:szCs w:val="32"/>
          <w:lang w:val="en-US" w:eastAsia="zh-CN"/>
        </w:rPr>
        <w:t>纵横互联，芙蓉街－百花洲与将军庙历史文化街区两区互动。</w:t>
      </w:r>
    </w:p>
    <w:p>
      <w:pPr>
        <w:pStyle w:val="6"/>
        <w:spacing w:before="11"/>
        <w:jc w:val="center"/>
        <w:rPr>
          <w:sz w:val="20"/>
        </w:rPr>
      </w:pPr>
      <w:r>
        <w:rPr>
          <w:rFonts w:ascii="宋体" w:hAnsi="宋体" w:eastAsia="宋体" w:cs="宋体"/>
          <w:sz w:val="24"/>
          <w:szCs w:val="24"/>
        </w:rPr>
        <w:drawing>
          <wp:inline distT="0" distB="0" distL="114300" distR="114300">
            <wp:extent cx="4905375" cy="3869055"/>
            <wp:effectExtent l="0" t="0" r="9525" b="17145"/>
            <wp:docPr id="8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IMG_256"/>
                    <pic:cNvPicPr>
                      <a:picLocks noChangeAspect="1"/>
                    </pic:cNvPicPr>
                  </pic:nvPicPr>
                  <pic:blipFill>
                    <a:blip r:embed="rId8"/>
                    <a:stretch>
                      <a:fillRect/>
                    </a:stretch>
                  </pic:blipFill>
                  <pic:spPr>
                    <a:xfrm>
                      <a:off x="0" y="0"/>
                      <a:ext cx="4905375" cy="3869055"/>
                    </a:xfrm>
                    <a:prstGeom prst="rect">
                      <a:avLst/>
                    </a:prstGeom>
                    <a:noFill/>
                    <a:ln w="9525">
                      <a:noFill/>
                    </a:ln>
                  </pic:spPr>
                </pic:pic>
              </a:graphicData>
            </a:graphic>
          </wp:inline>
        </w:drawing>
      </w:r>
    </w:p>
    <w:p>
      <w:pPr>
        <w:pStyle w:val="6"/>
        <w:spacing w:before="2"/>
        <w:rPr>
          <w:sz w:val="16"/>
        </w:rPr>
      </w:pPr>
    </w:p>
    <w:p>
      <w:pPr>
        <w:spacing w:before="78"/>
        <w:ind w:left="420" w:right="338" w:firstLine="0"/>
        <w:jc w:val="center"/>
        <w:rPr>
          <w:rFonts w:hint="eastAsia" w:ascii="宋体" w:eastAsia="宋体"/>
          <w:sz w:val="21"/>
        </w:rPr>
      </w:pPr>
      <w:r>
        <w:rPr>
          <w:rFonts w:hint="eastAsia" w:ascii="宋体" w:eastAsia="宋体"/>
          <w:spacing w:val="-27"/>
          <w:sz w:val="21"/>
        </w:rPr>
        <w:t xml:space="preserve">图 </w:t>
      </w:r>
      <w:r>
        <w:rPr>
          <w:rFonts w:ascii="Times New Roman" w:eastAsia="Times New Roman"/>
          <w:sz w:val="21"/>
        </w:rPr>
        <w:t>3-1</w:t>
      </w:r>
      <w:r>
        <w:rPr>
          <w:rFonts w:ascii="Times New Roman" w:eastAsia="Times New Roman"/>
          <w:spacing w:val="51"/>
          <w:sz w:val="21"/>
        </w:rPr>
        <w:t xml:space="preserve"> </w:t>
      </w:r>
      <w:r>
        <w:rPr>
          <w:rFonts w:hint="eastAsia" w:ascii="Times New Roman" w:eastAsia="宋体"/>
          <w:spacing w:val="51"/>
          <w:sz w:val="21"/>
          <w:lang w:val="en-US" w:eastAsia="zh-CN"/>
        </w:rPr>
        <w:t>济南古城（明府城片区）</w:t>
      </w:r>
      <w:r>
        <w:rPr>
          <w:rFonts w:hint="eastAsia" w:ascii="宋体" w:eastAsia="宋体"/>
          <w:spacing w:val="-3"/>
          <w:sz w:val="21"/>
        </w:rPr>
        <w:t>空间布局结构图</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2" w:firstLine="659" w:firstLineChars="200"/>
        <w:jc w:val="both"/>
        <w:textAlignment w:val="auto"/>
        <w:rPr>
          <w:sz w:val="32"/>
          <w:szCs w:val="32"/>
        </w:rPr>
      </w:pPr>
      <w:r>
        <w:rPr>
          <w:b/>
          <w:spacing w:val="4"/>
          <w:sz w:val="32"/>
          <w:szCs w:val="32"/>
        </w:rPr>
        <w:t>一</w:t>
      </w:r>
      <w:r>
        <w:rPr>
          <w:rFonts w:hint="eastAsia"/>
          <w:b/>
          <w:spacing w:val="4"/>
          <w:sz w:val="32"/>
          <w:szCs w:val="32"/>
          <w:lang w:val="en-US" w:eastAsia="zh-CN"/>
        </w:rPr>
        <w:t>轴</w:t>
      </w:r>
      <w:r>
        <w:rPr>
          <w:b/>
          <w:spacing w:val="4"/>
          <w:sz w:val="32"/>
          <w:szCs w:val="32"/>
        </w:rPr>
        <w:t>——泉城路城市发展轴。</w:t>
      </w:r>
      <w:r>
        <w:rPr>
          <w:sz w:val="32"/>
          <w:szCs w:val="32"/>
        </w:rPr>
        <w:t>统筹</w:t>
      </w:r>
      <w:r>
        <w:rPr>
          <w:spacing w:val="-1"/>
          <w:sz w:val="32"/>
          <w:szCs w:val="32"/>
        </w:rPr>
        <w:t>商业服务、文化娱乐、旅游休闲等功能</w:t>
      </w:r>
      <w:r>
        <w:rPr>
          <w:sz w:val="32"/>
          <w:szCs w:val="32"/>
        </w:rPr>
        <w:t>，以科技创新、产业创新为引领，构建疏密有致、</w:t>
      </w:r>
      <w:r>
        <w:rPr>
          <w:rFonts w:hint="eastAsia"/>
          <w:sz w:val="32"/>
          <w:szCs w:val="32"/>
          <w:lang w:val="en-US" w:eastAsia="zh-CN"/>
        </w:rPr>
        <w:t>泉</w:t>
      </w:r>
      <w:r>
        <w:rPr>
          <w:sz w:val="32"/>
          <w:szCs w:val="32"/>
        </w:rPr>
        <w:t>水共融的</w:t>
      </w:r>
      <w:r>
        <w:rPr>
          <w:rFonts w:hint="eastAsia"/>
          <w:sz w:val="32"/>
          <w:szCs w:val="32"/>
          <w:lang w:val="en-US" w:eastAsia="zh-CN"/>
        </w:rPr>
        <w:t>发展</w:t>
      </w:r>
      <w:r>
        <w:rPr>
          <w:sz w:val="32"/>
          <w:szCs w:val="32"/>
        </w:rPr>
        <w:t>格局，构造兼具创</w:t>
      </w:r>
      <w:r>
        <w:rPr>
          <w:rFonts w:hint="eastAsia"/>
          <w:sz w:val="32"/>
          <w:szCs w:val="32"/>
          <w:lang w:val="en-US" w:eastAsia="zh-CN"/>
        </w:rPr>
        <w:t>新</w:t>
      </w:r>
      <w:r>
        <w:rPr>
          <w:sz w:val="32"/>
          <w:szCs w:val="32"/>
        </w:rPr>
        <w:t>引领与景观生态功能的未来城市</w:t>
      </w:r>
      <w:r>
        <w:rPr>
          <w:rFonts w:hint="eastAsia"/>
          <w:sz w:val="32"/>
          <w:szCs w:val="32"/>
          <w:lang w:val="en-US" w:eastAsia="zh-CN"/>
        </w:rPr>
        <w:t>发展</w:t>
      </w:r>
      <w:r>
        <w:rPr>
          <w:sz w:val="32"/>
          <w:szCs w:val="32"/>
        </w:rPr>
        <w:t>走廊。</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5" w:firstLine="659" w:firstLineChars="200"/>
        <w:textAlignment w:val="auto"/>
        <w:rPr>
          <w:sz w:val="32"/>
          <w:szCs w:val="32"/>
        </w:rPr>
      </w:pPr>
      <w:r>
        <w:rPr>
          <w:rFonts w:hint="eastAsia"/>
          <w:b/>
          <w:spacing w:val="4"/>
          <w:sz w:val="32"/>
          <w:szCs w:val="32"/>
          <w:lang w:val="en-US" w:eastAsia="zh-CN"/>
        </w:rPr>
        <w:t>一圈</w:t>
      </w:r>
      <w:r>
        <w:rPr>
          <w:b/>
          <w:spacing w:val="4"/>
          <w:sz w:val="32"/>
          <w:szCs w:val="32"/>
        </w:rPr>
        <w:t>——泉城特色标志区外围圈层</w:t>
      </w:r>
      <w:r>
        <w:rPr>
          <w:b/>
          <w:spacing w:val="-8"/>
          <w:sz w:val="32"/>
          <w:szCs w:val="32"/>
        </w:rPr>
        <w:t>。</w:t>
      </w:r>
      <w:r>
        <w:rPr>
          <w:spacing w:val="-1"/>
          <w:sz w:val="32"/>
          <w:szCs w:val="32"/>
        </w:rPr>
        <w:t>由多个居住社区、教育科研组团等组成。</w:t>
      </w:r>
    </w:p>
    <w:p>
      <w:pPr>
        <w:keepNext w:val="0"/>
        <w:keepLines w:val="0"/>
        <w:pageBreakBefore w:val="0"/>
        <w:widowControl w:val="0"/>
        <w:kinsoku/>
        <w:wordWrap/>
        <w:overflowPunct/>
        <w:topLinePunct w:val="0"/>
        <w:autoSpaceDE w:val="0"/>
        <w:autoSpaceDN w:val="0"/>
        <w:bidi w:val="0"/>
        <w:adjustRightInd/>
        <w:snapToGrid/>
        <w:spacing w:before="0" w:line="360" w:lineRule="auto"/>
        <w:ind w:right="364" w:firstLine="663" w:firstLineChars="200"/>
        <w:jc w:val="both"/>
        <w:textAlignment w:val="auto"/>
        <w:rPr>
          <w:sz w:val="32"/>
          <w:szCs w:val="32"/>
        </w:rPr>
      </w:pPr>
      <w:r>
        <w:rPr>
          <w:b/>
          <w:spacing w:val="5"/>
          <w:sz w:val="32"/>
          <w:szCs w:val="32"/>
        </w:rPr>
        <w:t>四区</w:t>
      </w:r>
      <w:r>
        <w:rPr>
          <w:sz w:val="32"/>
          <w:szCs w:val="32"/>
        </w:rPr>
        <w:t>——布局</w:t>
      </w:r>
      <w:r>
        <w:rPr>
          <w:rFonts w:hint="eastAsia"/>
          <w:sz w:val="32"/>
          <w:szCs w:val="32"/>
          <w:lang w:eastAsia="zh-CN"/>
        </w:rPr>
        <w:t>“</w:t>
      </w:r>
      <w:r>
        <w:rPr>
          <w:rFonts w:hint="eastAsia"/>
          <w:sz w:val="32"/>
          <w:szCs w:val="32"/>
          <w:lang w:val="en-US" w:eastAsia="zh-CN"/>
        </w:rPr>
        <w:t>中优</w:t>
      </w:r>
      <w:r>
        <w:rPr>
          <w:rFonts w:hint="eastAsia"/>
          <w:sz w:val="32"/>
          <w:szCs w:val="32"/>
          <w:lang w:eastAsia="zh-CN"/>
        </w:rPr>
        <w:t>”</w:t>
      </w:r>
      <w:r>
        <w:rPr>
          <w:sz w:val="32"/>
          <w:szCs w:val="32"/>
        </w:rPr>
        <w:t>发展空间，形成功能明确、融合互动、集约高效、智慧绿色的四区空间开发格局，即</w:t>
      </w:r>
      <w:r>
        <w:rPr>
          <w:rFonts w:hint="eastAsia" w:ascii="仿宋_GB2312" w:hAnsi="仿宋_GB2312" w:eastAsia="仿宋_GB2312" w:cs="仿宋_GB2312"/>
          <w:b/>
          <w:spacing w:val="4"/>
          <w:sz w:val="32"/>
          <w:szCs w:val="32"/>
          <w:lang w:val="zh-CN" w:eastAsia="zh-CN" w:bidi="zh-CN"/>
        </w:rPr>
        <w:t>齐鲁文化生态保护区、中央泉水体验区、创意产业集聚区、时尚艺术活力区</w:t>
      </w:r>
      <w:r>
        <w:rPr>
          <w:rFonts w:hint="eastAsia"/>
          <w:sz w:val="32"/>
          <w:szCs w:val="32"/>
        </w:rPr>
        <w:t>四区合一。</w:t>
      </w:r>
    </w:p>
    <w:p>
      <w:pPr>
        <w:pStyle w:val="6"/>
        <w:rPr>
          <w:sz w:val="20"/>
        </w:rPr>
      </w:pPr>
    </w:p>
    <w:p>
      <w:pPr>
        <w:pStyle w:val="6"/>
        <w:rPr>
          <w:sz w:val="20"/>
        </w:rPr>
      </w:pPr>
    </w:p>
    <w:p>
      <w:pPr>
        <w:pStyle w:val="6"/>
        <w:spacing w:before="6"/>
        <w:jc w:val="center"/>
        <w:rPr>
          <w:sz w:val="25"/>
        </w:rPr>
      </w:pPr>
      <w:r>
        <w:drawing>
          <wp:inline distT="0" distB="0" distL="114300" distR="114300">
            <wp:extent cx="4896485" cy="5744210"/>
            <wp:effectExtent l="0" t="0" r="18415" b="889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9"/>
                    <a:stretch>
                      <a:fillRect/>
                    </a:stretch>
                  </pic:blipFill>
                  <pic:spPr>
                    <a:xfrm>
                      <a:off x="0" y="0"/>
                      <a:ext cx="4896485" cy="5744210"/>
                    </a:xfrm>
                    <a:prstGeom prst="rect">
                      <a:avLst/>
                    </a:prstGeom>
                    <a:noFill/>
                    <a:ln>
                      <a:noFill/>
                    </a:ln>
                  </pic:spPr>
                </pic:pic>
              </a:graphicData>
            </a:graphic>
          </wp:inline>
        </w:drawing>
      </w:r>
    </w:p>
    <w:p>
      <w:pPr>
        <w:pStyle w:val="6"/>
        <w:spacing w:before="6"/>
        <w:rPr>
          <w:sz w:val="11"/>
        </w:rPr>
      </w:pPr>
    </w:p>
    <w:p>
      <w:pPr>
        <w:spacing w:before="78"/>
        <w:ind w:left="0" w:right="335" w:firstLine="0"/>
        <w:jc w:val="center"/>
        <w:rPr>
          <w:rFonts w:hint="eastAsia" w:ascii="宋体" w:eastAsia="宋体"/>
          <w:sz w:val="21"/>
        </w:rPr>
      </w:pPr>
      <w:r>
        <w:rPr>
          <w:rFonts w:hint="eastAsia" w:ascii="宋体" w:eastAsia="宋体"/>
          <w:spacing w:val="-27"/>
          <w:sz w:val="21"/>
        </w:rPr>
        <w:t xml:space="preserve">图 </w:t>
      </w:r>
      <w:r>
        <w:rPr>
          <w:rFonts w:ascii="Times New Roman" w:eastAsia="Times New Roman"/>
          <w:sz w:val="21"/>
        </w:rPr>
        <w:t>3-2</w:t>
      </w:r>
      <w:r>
        <w:rPr>
          <w:rFonts w:ascii="Times New Roman" w:eastAsia="Times New Roman"/>
          <w:spacing w:val="51"/>
          <w:sz w:val="21"/>
        </w:rPr>
        <w:t xml:space="preserve"> </w:t>
      </w:r>
      <w:r>
        <w:rPr>
          <w:rFonts w:hint="eastAsia" w:ascii="Times New Roman" w:eastAsia="宋体"/>
          <w:spacing w:val="51"/>
          <w:sz w:val="21"/>
          <w:lang w:val="en-US" w:eastAsia="zh-CN"/>
        </w:rPr>
        <w:t>济南古城（明府城片区）</w:t>
      </w:r>
      <w:r>
        <w:rPr>
          <w:rFonts w:hint="eastAsia" w:ascii="宋体" w:eastAsia="宋体"/>
          <w:spacing w:val="-3"/>
          <w:sz w:val="21"/>
        </w:rPr>
        <w:t>土地利用图</w:t>
      </w:r>
    </w:p>
    <w:p>
      <w:pPr>
        <w:pStyle w:val="6"/>
        <w:spacing w:before="12"/>
        <w:rPr>
          <w:rFonts w:ascii="宋体"/>
          <w:sz w:val="16"/>
        </w:rPr>
      </w:pPr>
    </w:p>
    <w:p>
      <w:pPr>
        <w:pStyle w:val="4"/>
        <w:numPr>
          <w:ilvl w:val="0"/>
          <w:numId w:val="4"/>
        </w:numPr>
        <w:ind w:right="337"/>
      </w:pPr>
      <w:bookmarkStart w:id="11" w:name="_Toc1367"/>
      <w:r>
        <w:t>打造融合互</w:t>
      </w:r>
      <w:r>
        <w:rPr>
          <w:rFonts w:hint="eastAsia"/>
          <w:lang w:val="en-US" w:eastAsia="zh-CN"/>
        </w:rPr>
        <w:t>通</w:t>
      </w:r>
      <w:r>
        <w:t>的</w:t>
      </w:r>
      <w:r>
        <w:rPr>
          <w:rFonts w:hint="eastAsia"/>
          <w:lang w:val="en-US" w:eastAsia="zh-CN"/>
        </w:rPr>
        <w:t>非遗旅游线路</w:t>
      </w:r>
      <w:bookmarkEnd w:id="11"/>
    </w:p>
    <w:p>
      <w:pPr>
        <w:numPr>
          <w:ilvl w:val="0"/>
          <w:numId w:val="0"/>
        </w:numPr>
        <w:ind w:right="0" w:rightChars="0"/>
      </w:pPr>
    </w:p>
    <w:p>
      <w:pPr>
        <w:keepNext w:val="0"/>
        <w:keepLines w:val="0"/>
        <w:pageBreakBefore w:val="0"/>
        <w:widowControl w:val="0"/>
        <w:kinsoku/>
        <w:wordWrap/>
        <w:overflowPunct/>
        <w:topLinePunct w:val="0"/>
        <w:autoSpaceDE w:val="0"/>
        <w:autoSpaceDN w:val="0"/>
        <w:bidi w:val="0"/>
        <w:adjustRightInd/>
        <w:snapToGrid/>
        <w:spacing w:before="0" w:line="360" w:lineRule="auto"/>
        <w:ind w:right="516" w:firstLine="640" w:firstLineChars="200"/>
        <w:jc w:val="left"/>
        <w:textAlignment w:val="auto"/>
        <w:rPr>
          <w:rFonts w:hint="default" w:eastAsia="仿宋_GB2312"/>
          <w:sz w:val="32"/>
          <w:szCs w:val="32"/>
          <w:lang w:val="en-US" w:eastAsia="zh-CN"/>
        </w:rPr>
      </w:pPr>
      <w:r>
        <w:rPr>
          <w:rFonts w:hint="eastAsia"/>
          <w:sz w:val="32"/>
          <w:szCs w:val="32"/>
        </w:rPr>
        <w:t>按照市文旅局，承接省委省政府举办的旅游发展大会的有关要求，打造国际泉水联盟、一带一路国际摄影展等重大活动，</w:t>
      </w:r>
      <w:r>
        <w:rPr>
          <w:rFonts w:hint="eastAsia"/>
          <w:sz w:val="32"/>
          <w:szCs w:val="32"/>
          <w:lang w:val="en-US" w:eastAsia="zh-CN"/>
        </w:rPr>
        <w:t>建立起南北贯通、东西互联的国家级非遗主题游线。</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66" w:firstLine="659" w:firstLineChars="200"/>
        <w:textAlignment w:val="auto"/>
        <w:rPr>
          <w:rFonts w:ascii="宋体"/>
          <w:sz w:val="32"/>
          <w:szCs w:val="32"/>
        </w:rPr>
      </w:pPr>
      <w:r>
        <w:rPr>
          <w:b/>
          <w:spacing w:val="4"/>
          <w:sz w:val="32"/>
          <w:szCs w:val="32"/>
        </w:rPr>
        <w:t>——</w:t>
      </w:r>
      <w:r>
        <w:rPr>
          <w:rFonts w:hint="eastAsia"/>
          <w:b/>
          <w:spacing w:val="4"/>
          <w:sz w:val="32"/>
          <w:szCs w:val="32"/>
          <w:lang w:val="en-US" w:eastAsia="zh-CN"/>
        </w:rPr>
        <w:t>南北线路</w:t>
      </w:r>
      <w:r>
        <w:rPr>
          <w:b/>
          <w:spacing w:val="4"/>
          <w:sz w:val="32"/>
          <w:szCs w:val="32"/>
        </w:rPr>
        <w:t>。</w:t>
      </w:r>
      <w:r>
        <w:rPr>
          <w:sz w:val="32"/>
          <w:szCs w:val="32"/>
        </w:rPr>
        <w:t>以</w:t>
      </w:r>
      <w:r>
        <w:rPr>
          <w:rFonts w:hint="eastAsia"/>
          <w:sz w:val="32"/>
          <w:szCs w:val="32"/>
        </w:rPr>
        <w:t>芙蓉街</w:t>
      </w:r>
      <w:r>
        <w:rPr>
          <w:rFonts w:hint="eastAsia"/>
          <w:sz w:val="32"/>
          <w:szCs w:val="32"/>
          <w:lang w:eastAsia="zh-CN"/>
        </w:rPr>
        <w:t>－</w:t>
      </w:r>
      <w:r>
        <w:rPr>
          <w:rFonts w:hint="eastAsia"/>
          <w:sz w:val="32"/>
          <w:szCs w:val="32"/>
        </w:rPr>
        <w:t>文庙南广场</w:t>
      </w:r>
      <w:r>
        <w:rPr>
          <w:rFonts w:hint="eastAsia"/>
          <w:sz w:val="32"/>
          <w:szCs w:val="32"/>
          <w:lang w:eastAsia="zh-CN"/>
        </w:rPr>
        <w:t>－</w:t>
      </w:r>
      <w:r>
        <w:rPr>
          <w:rFonts w:hint="eastAsia"/>
          <w:sz w:val="32"/>
          <w:szCs w:val="32"/>
        </w:rPr>
        <w:t>东花墙子街</w:t>
      </w:r>
      <w:r>
        <w:rPr>
          <w:rFonts w:hint="eastAsia"/>
          <w:sz w:val="32"/>
          <w:szCs w:val="32"/>
          <w:lang w:eastAsia="zh-CN"/>
        </w:rPr>
        <w:t>－</w:t>
      </w:r>
      <w:r>
        <w:rPr>
          <w:rFonts w:hint="eastAsia"/>
          <w:sz w:val="32"/>
          <w:szCs w:val="32"/>
        </w:rPr>
        <w:t>辘轳把子街</w:t>
      </w:r>
      <w:r>
        <w:rPr>
          <w:rFonts w:hint="eastAsia"/>
          <w:sz w:val="32"/>
          <w:szCs w:val="32"/>
          <w:lang w:eastAsia="zh-CN"/>
        </w:rPr>
        <w:t>－</w:t>
      </w:r>
      <w:r>
        <w:rPr>
          <w:rFonts w:hint="eastAsia"/>
          <w:sz w:val="32"/>
          <w:szCs w:val="32"/>
        </w:rPr>
        <w:t>曲水亭街</w:t>
      </w:r>
      <w:r>
        <w:rPr>
          <w:rFonts w:hint="eastAsia"/>
          <w:sz w:val="32"/>
          <w:szCs w:val="32"/>
          <w:lang w:val="en-US" w:eastAsia="zh-CN"/>
        </w:rPr>
        <w:t>为</w:t>
      </w:r>
      <w:r>
        <w:rPr>
          <w:rFonts w:hint="eastAsia"/>
          <w:sz w:val="32"/>
          <w:szCs w:val="32"/>
        </w:rPr>
        <w:t>主路</w:t>
      </w:r>
      <w:r>
        <w:rPr>
          <w:rFonts w:hint="eastAsia"/>
          <w:sz w:val="32"/>
          <w:szCs w:val="32"/>
          <w:lang w:eastAsia="zh-CN"/>
        </w:rPr>
        <w:t>；</w:t>
      </w:r>
      <w:r>
        <w:rPr>
          <w:rFonts w:hint="eastAsia"/>
          <w:sz w:val="32"/>
          <w:szCs w:val="32"/>
          <w:lang w:val="en-US" w:eastAsia="zh-CN"/>
        </w:rPr>
        <w:t>以</w:t>
      </w:r>
      <w:r>
        <w:rPr>
          <w:rFonts w:hint="eastAsia"/>
          <w:sz w:val="32"/>
          <w:szCs w:val="32"/>
        </w:rPr>
        <w:t>金菊巷</w:t>
      </w:r>
      <w:r>
        <w:rPr>
          <w:rFonts w:hint="eastAsia"/>
          <w:sz w:val="32"/>
          <w:szCs w:val="32"/>
          <w:lang w:eastAsia="zh-CN"/>
        </w:rPr>
        <w:t>－</w:t>
      </w:r>
      <w:r>
        <w:rPr>
          <w:rFonts w:hint="eastAsia"/>
          <w:sz w:val="32"/>
          <w:szCs w:val="32"/>
        </w:rPr>
        <w:t>平泉胡同</w:t>
      </w:r>
      <w:r>
        <w:rPr>
          <w:rFonts w:hint="eastAsia"/>
          <w:sz w:val="32"/>
          <w:szCs w:val="32"/>
          <w:lang w:eastAsia="zh-CN"/>
        </w:rPr>
        <w:t>－</w:t>
      </w:r>
      <w:r>
        <w:rPr>
          <w:rFonts w:hint="eastAsia"/>
          <w:sz w:val="32"/>
          <w:szCs w:val="32"/>
        </w:rPr>
        <w:t>王府池子街</w:t>
      </w:r>
      <w:r>
        <w:rPr>
          <w:rFonts w:hint="eastAsia"/>
          <w:sz w:val="32"/>
          <w:szCs w:val="32"/>
          <w:lang w:eastAsia="zh-CN"/>
        </w:rPr>
        <w:t>－</w:t>
      </w:r>
      <w:r>
        <w:rPr>
          <w:rFonts w:hint="eastAsia"/>
          <w:sz w:val="32"/>
          <w:szCs w:val="32"/>
        </w:rPr>
        <w:t>起凤桥街</w:t>
      </w:r>
      <w:r>
        <w:rPr>
          <w:rFonts w:hint="eastAsia"/>
          <w:sz w:val="32"/>
          <w:szCs w:val="32"/>
          <w:lang w:eastAsia="zh-CN"/>
        </w:rPr>
        <w:t>－</w:t>
      </w:r>
      <w:r>
        <w:rPr>
          <w:rFonts w:hint="eastAsia"/>
          <w:sz w:val="32"/>
          <w:szCs w:val="32"/>
        </w:rPr>
        <w:t>马市街， 涌泉胡同</w:t>
      </w:r>
      <w:r>
        <w:rPr>
          <w:rFonts w:hint="eastAsia"/>
          <w:sz w:val="32"/>
          <w:szCs w:val="32"/>
          <w:lang w:val="en-US" w:eastAsia="zh-CN"/>
        </w:rPr>
        <w:t>为</w:t>
      </w:r>
      <w:r>
        <w:rPr>
          <w:rFonts w:hint="eastAsia"/>
          <w:sz w:val="32"/>
          <w:szCs w:val="32"/>
        </w:rPr>
        <w:t>支路</w:t>
      </w:r>
      <w:r>
        <w:rPr>
          <w:rFonts w:hint="eastAsia"/>
          <w:sz w:val="32"/>
          <w:szCs w:val="32"/>
          <w:lang w:eastAsia="zh-CN"/>
        </w:rPr>
        <w:t>。</w:t>
      </w:r>
      <w:r>
        <w:rPr>
          <w:rFonts w:hint="eastAsia"/>
          <w:sz w:val="32"/>
          <w:szCs w:val="32"/>
        </w:rPr>
        <w:t>沿此旅游路线可参观文保建筑龙神庙大殿，历史建筑曲水亭街15号院、31号院，王府池子街9号张家大院及西侧传统建筑</w:t>
      </w:r>
      <w:r>
        <w:rPr>
          <w:rFonts w:hint="eastAsia"/>
          <w:sz w:val="32"/>
          <w:szCs w:val="32"/>
          <w:lang w:val="en-US" w:eastAsia="zh-CN"/>
        </w:rPr>
        <w:t>等重要景点。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4" w:firstLine="643" w:firstLineChars="200"/>
        <w:jc w:val="both"/>
        <w:textAlignment w:val="auto"/>
        <w:rPr>
          <w:rFonts w:hint="eastAsia"/>
          <w:sz w:val="32"/>
          <w:szCs w:val="32"/>
          <w:lang w:val="en-US" w:eastAsia="zh-CN"/>
        </w:rPr>
      </w:pPr>
      <w:r>
        <w:rPr>
          <w:b/>
          <w:sz w:val="32"/>
          <w:szCs w:val="32"/>
        </w:rPr>
        <w:t>——</w:t>
      </w:r>
      <w:r>
        <w:rPr>
          <w:rFonts w:hint="eastAsia"/>
          <w:b/>
          <w:sz w:val="32"/>
          <w:szCs w:val="32"/>
          <w:lang w:val="en-US" w:eastAsia="zh-CN"/>
        </w:rPr>
        <w:t>东西线路</w:t>
      </w:r>
      <w:r>
        <w:rPr>
          <w:b/>
          <w:sz w:val="32"/>
          <w:szCs w:val="32"/>
        </w:rPr>
        <w:t>。</w:t>
      </w:r>
      <w:r>
        <w:rPr>
          <w:rFonts w:hint="eastAsia"/>
          <w:sz w:val="32"/>
          <w:szCs w:val="32"/>
          <w:lang w:val="en-US" w:eastAsia="zh-CN"/>
        </w:rPr>
        <w:t>以</w:t>
      </w:r>
      <w:r>
        <w:rPr>
          <w:rFonts w:hint="eastAsia"/>
          <w:sz w:val="32"/>
          <w:szCs w:val="32"/>
        </w:rPr>
        <w:t>后宰门街</w:t>
      </w:r>
      <w:r>
        <w:rPr>
          <w:rFonts w:hint="eastAsia"/>
          <w:sz w:val="32"/>
          <w:szCs w:val="32"/>
          <w:lang w:eastAsia="zh-CN"/>
        </w:rPr>
        <w:t>－</w:t>
      </w:r>
      <w:r>
        <w:rPr>
          <w:rFonts w:hint="eastAsia"/>
          <w:sz w:val="32"/>
          <w:szCs w:val="32"/>
        </w:rPr>
        <w:t>辘轳把子街</w:t>
      </w:r>
      <w:r>
        <w:rPr>
          <w:rFonts w:hint="eastAsia"/>
          <w:sz w:val="32"/>
          <w:szCs w:val="32"/>
          <w:lang w:eastAsia="zh-CN"/>
        </w:rPr>
        <w:t>－</w:t>
      </w:r>
      <w:r>
        <w:rPr>
          <w:rFonts w:hint="eastAsia"/>
          <w:sz w:val="32"/>
          <w:szCs w:val="32"/>
        </w:rPr>
        <w:t>东花墙子街</w:t>
      </w:r>
      <w:r>
        <w:rPr>
          <w:rFonts w:hint="eastAsia"/>
          <w:sz w:val="32"/>
          <w:szCs w:val="32"/>
          <w:lang w:eastAsia="zh-CN"/>
        </w:rPr>
        <w:t>－</w:t>
      </w:r>
      <w:r>
        <w:rPr>
          <w:rFonts w:hint="eastAsia"/>
          <w:sz w:val="32"/>
          <w:szCs w:val="32"/>
        </w:rPr>
        <w:t>茶巷</w:t>
      </w:r>
      <w:r>
        <w:rPr>
          <w:rFonts w:hint="eastAsia"/>
          <w:sz w:val="32"/>
          <w:szCs w:val="32"/>
          <w:lang w:eastAsia="zh-CN"/>
        </w:rPr>
        <w:t>－</w:t>
      </w:r>
      <w:r>
        <w:rPr>
          <w:rFonts w:hint="eastAsia"/>
          <w:sz w:val="32"/>
          <w:szCs w:val="32"/>
        </w:rPr>
        <w:t>贡院墙根街</w:t>
      </w:r>
      <w:r>
        <w:rPr>
          <w:rFonts w:hint="eastAsia"/>
          <w:sz w:val="32"/>
          <w:szCs w:val="32"/>
          <w:lang w:eastAsia="zh-CN"/>
        </w:rPr>
        <w:t>－</w:t>
      </w:r>
      <w:r>
        <w:rPr>
          <w:rFonts w:hint="eastAsia"/>
          <w:sz w:val="32"/>
          <w:szCs w:val="32"/>
        </w:rPr>
        <w:t>省府东街</w:t>
      </w:r>
      <w:r>
        <w:rPr>
          <w:rFonts w:hint="eastAsia"/>
          <w:sz w:val="32"/>
          <w:szCs w:val="32"/>
          <w:lang w:eastAsia="zh-CN"/>
        </w:rPr>
        <w:t>－</w:t>
      </w:r>
      <w:r>
        <w:rPr>
          <w:rFonts w:hint="eastAsia"/>
          <w:sz w:val="32"/>
          <w:szCs w:val="32"/>
        </w:rPr>
        <w:t>双忠祠街</w:t>
      </w:r>
      <w:r>
        <w:rPr>
          <w:rFonts w:hint="eastAsia"/>
          <w:sz w:val="32"/>
          <w:szCs w:val="32"/>
          <w:lang w:eastAsia="zh-CN"/>
        </w:rPr>
        <w:t>－</w:t>
      </w:r>
      <w:r>
        <w:rPr>
          <w:rFonts w:hint="eastAsia"/>
          <w:sz w:val="32"/>
          <w:szCs w:val="32"/>
        </w:rPr>
        <w:t>西城根街</w:t>
      </w:r>
      <w:r>
        <w:rPr>
          <w:rFonts w:hint="eastAsia"/>
          <w:sz w:val="32"/>
          <w:szCs w:val="32"/>
          <w:lang w:val="en-US" w:eastAsia="zh-CN"/>
        </w:rPr>
        <w:t>为</w:t>
      </w:r>
      <w:r>
        <w:rPr>
          <w:rFonts w:hint="eastAsia"/>
          <w:sz w:val="32"/>
          <w:szCs w:val="32"/>
        </w:rPr>
        <w:t>主路</w:t>
      </w:r>
      <w:r>
        <w:rPr>
          <w:rFonts w:hint="eastAsia"/>
          <w:sz w:val="32"/>
          <w:szCs w:val="32"/>
          <w:lang w:eastAsia="zh-CN"/>
        </w:rPr>
        <w:t>；</w:t>
      </w:r>
      <w:r>
        <w:rPr>
          <w:rFonts w:hint="eastAsia"/>
          <w:sz w:val="32"/>
          <w:szCs w:val="32"/>
          <w:lang w:val="en-US" w:eastAsia="zh-CN"/>
        </w:rPr>
        <w:t>以</w:t>
      </w:r>
      <w:r>
        <w:rPr>
          <w:rFonts w:hint="eastAsia"/>
          <w:sz w:val="32"/>
          <w:szCs w:val="32"/>
        </w:rPr>
        <w:t>启明街</w:t>
      </w:r>
      <w:r>
        <w:rPr>
          <w:rFonts w:hint="eastAsia"/>
          <w:sz w:val="32"/>
          <w:szCs w:val="32"/>
          <w:lang w:eastAsia="zh-CN"/>
        </w:rPr>
        <w:t>－</w:t>
      </w:r>
      <w:r>
        <w:rPr>
          <w:rFonts w:hint="eastAsia"/>
          <w:sz w:val="32"/>
          <w:szCs w:val="32"/>
        </w:rPr>
        <w:t>寿康楼街，后宰门街与万寿宫街相接的街巷</w:t>
      </w:r>
      <w:r>
        <w:rPr>
          <w:rFonts w:hint="eastAsia"/>
          <w:sz w:val="32"/>
          <w:szCs w:val="32"/>
          <w:lang w:val="en-US" w:eastAsia="zh-CN"/>
        </w:rPr>
        <w:t>为</w:t>
      </w:r>
      <w:r>
        <w:rPr>
          <w:rFonts w:hint="eastAsia"/>
          <w:sz w:val="32"/>
          <w:szCs w:val="32"/>
        </w:rPr>
        <w:t>支路</w:t>
      </w:r>
      <w:r>
        <w:rPr>
          <w:rFonts w:hint="eastAsia"/>
          <w:sz w:val="32"/>
          <w:szCs w:val="32"/>
          <w:lang w:eastAsia="zh-CN"/>
        </w:rPr>
        <w:t>。沿此旅游路线可参观文保建筑陈冕状元府、题壁堂、寿康楼、双忠祠、孙家公馆、吴家公馆、灵官庙等，历史建筑后宰门街41号院</w:t>
      </w:r>
      <w:r>
        <w:rPr>
          <w:rFonts w:hint="eastAsia"/>
          <w:sz w:val="32"/>
          <w:szCs w:val="32"/>
          <w:lang w:val="en-US" w:eastAsia="zh-CN"/>
        </w:rPr>
        <w:t>等重要景点。</w:t>
      </w:r>
    </w:p>
    <w:p>
      <w:pPr>
        <w:pStyle w:val="6"/>
        <w:spacing w:line="364" w:lineRule="auto"/>
        <w:ind w:left="182" w:right="514" w:firstLine="602"/>
        <w:jc w:val="both"/>
        <w:rPr>
          <w:rFonts w:hint="eastAsia"/>
          <w:lang w:val="en-US" w:eastAsia="zh-CN"/>
        </w:rPr>
      </w:pPr>
      <w:r>
        <w:rPr>
          <w:rFonts w:hint="eastAsia"/>
          <w:lang w:val="en-US" w:eastAsia="zh-CN"/>
        </w:rPr>
        <w:drawing>
          <wp:inline distT="0" distB="0" distL="114300" distR="114300">
            <wp:extent cx="4513580" cy="3599815"/>
            <wp:effectExtent l="0" t="0" r="1270" b="635"/>
            <wp:docPr id="106" name="图片 106" descr="e1b9b54c9bf87ab732bc90a1d6f0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e1b9b54c9bf87ab732bc90a1d6f0f94"/>
                    <pic:cNvPicPr>
                      <a:picLocks noChangeAspect="1"/>
                    </pic:cNvPicPr>
                  </pic:nvPicPr>
                  <pic:blipFill>
                    <a:blip r:embed="rId10"/>
                    <a:stretch>
                      <a:fillRect/>
                    </a:stretch>
                  </pic:blipFill>
                  <pic:spPr>
                    <a:xfrm>
                      <a:off x="0" y="0"/>
                      <a:ext cx="4513580" cy="3599815"/>
                    </a:xfrm>
                    <a:prstGeom prst="rect">
                      <a:avLst/>
                    </a:prstGeom>
                  </pic:spPr>
                </pic:pic>
              </a:graphicData>
            </a:graphic>
          </wp:inline>
        </w:drawing>
      </w:r>
    </w:p>
    <w:p>
      <w:pPr>
        <w:pStyle w:val="6"/>
        <w:spacing w:before="4"/>
        <w:rPr>
          <w:sz w:val="15"/>
        </w:rPr>
      </w:pPr>
    </w:p>
    <w:p>
      <w:pPr>
        <w:spacing w:before="79"/>
        <w:ind w:left="0" w:right="335" w:firstLine="0"/>
        <w:jc w:val="center"/>
        <w:rPr>
          <w:rFonts w:hint="eastAsia" w:ascii="宋体" w:eastAsia="宋体"/>
          <w:sz w:val="21"/>
          <w:lang w:eastAsia="zh-CN"/>
        </w:rPr>
      </w:pPr>
      <w:r>
        <w:rPr>
          <w:rFonts w:hint="eastAsia" w:ascii="宋体" w:eastAsia="宋体"/>
          <w:sz w:val="21"/>
        </w:rPr>
        <w:t xml:space="preserve">图 </w:t>
      </w:r>
      <w:r>
        <w:rPr>
          <w:rFonts w:ascii="Times New Roman" w:eastAsia="Times New Roman"/>
          <w:sz w:val="21"/>
        </w:rPr>
        <w:t>3-</w:t>
      </w:r>
      <w:r>
        <w:rPr>
          <w:rFonts w:hint="eastAsia" w:ascii="Times New Roman" w:eastAsia="宋体"/>
          <w:sz w:val="21"/>
          <w:lang w:val="en-US" w:eastAsia="zh-CN"/>
        </w:rPr>
        <w:t>3</w:t>
      </w:r>
      <w:r>
        <w:rPr>
          <w:rFonts w:ascii="Times New Roman" w:eastAsia="Times New Roman"/>
          <w:sz w:val="21"/>
        </w:rPr>
        <w:t xml:space="preserve"> </w:t>
      </w:r>
      <w:r>
        <w:rPr>
          <w:rFonts w:hint="eastAsia" w:ascii="宋体" w:eastAsia="宋体"/>
          <w:sz w:val="21"/>
          <w:lang w:val="en-US" w:eastAsia="zh-CN"/>
        </w:rPr>
        <w:t>济南古城（明府城片区）</w:t>
      </w:r>
      <w:r>
        <w:rPr>
          <w:rFonts w:hint="eastAsia" w:ascii="Times New Roman" w:eastAsia="宋体"/>
          <w:sz w:val="21"/>
          <w:lang w:val="en-US" w:eastAsia="zh-CN"/>
        </w:rPr>
        <w:t>旅游线路</w:t>
      </w:r>
    </w:p>
    <w:p>
      <w:pPr>
        <w:pStyle w:val="6"/>
        <w:rPr>
          <w:rFonts w:ascii="宋体"/>
          <w:sz w:val="22"/>
        </w:rPr>
      </w:pPr>
    </w:p>
    <w:p>
      <w:pPr>
        <w:pStyle w:val="6"/>
        <w:spacing w:before="2"/>
        <w:rPr>
          <w:rFonts w:ascii="宋体"/>
          <w:sz w:val="20"/>
        </w:rPr>
      </w:pPr>
    </w:p>
    <w:p>
      <w:pPr>
        <w:pStyle w:val="6"/>
        <w:spacing w:before="1"/>
        <w:rPr>
          <w:rFonts w:ascii="宋体"/>
          <w:sz w:val="32"/>
        </w:rPr>
      </w:pPr>
    </w:p>
    <w:p>
      <w:pPr>
        <w:pStyle w:val="6"/>
        <w:spacing w:before="1"/>
        <w:rPr>
          <w:rFonts w:ascii="宋体"/>
          <w:sz w:val="32"/>
        </w:rPr>
      </w:pPr>
    </w:p>
    <w:p>
      <w:pPr>
        <w:pStyle w:val="6"/>
        <w:spacing w:before="1"/>
        <w:rPr>
          <w:rFonts w:ascii="宋体"/>
          <w:sz w:val="32"/>
        </w:rPr>
      </w:pPr>
    </w:p>
    <w:p>
      <w:pPr>
        <w:pStyle w:val="4"/>
        <w:numPr>
          <w:ilvl w:val="0"/>
          <w:numId w:val="4"/>
        </w:numPr>
        <w:ind w:left="0" w:leftChars="0" w:right="339" w:firstLine="0" w:firstLineChars="0"/>
        <w:rPr>
          <w:rFonts w:hint="eastAsia"/>
          <w:b/>
          <w:sz w:val="32"/>
          <w:szCs w:val="32"/>
        </w:rPr>
      </w:pPr>
      <w:bookmarkStart w:id="12" w:name="_Toc9798"/>
      <w:r>
        <w:rPr>
          <w:rFonts w:hint="eastAsia"/>
          <w:b/>
          <w:sz w:val="32"/>
          <w:szCs w:val="32"/>
        </w:rPr>
        <w:t>打造人本慢行生活旅游圈</w:t>
      </w:r>
      <w:bookmarkEnd w:id="12"/>
    </w:p>
    <w:p>
      <w:pPr>
        <w:numPr>
          <w:ilvl w:val="0"/>
          <w:numId w:val="0"/>
        </w:numPr>
        <w:ind w:leftChars="0" w:right="0" w:rightChars="0"/>
        <w:rPr>
          <w:sz w:val="32"/>
          <w:szCs w:val="3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306" w:firstLine="643" w:firstLineChars="200"/>
        <w:jc w:val="left"/>
        <w:textAlignment w:val="auto"/>
        <w:rPr>
          <w:sz w:val="32"/>
          <w:szCs w:val="32"/>
        </w:rPr>
      </w:pPr>
      <w:r>
        <w:rPr>
          <w:rFonts w:hint="eastAsia"/>
          <w:b/>
          <w:sz w:val="32"/>
          <w:szCs w:val="32"/>
          <w:lang w:eastAsia="zh-CN"/>
        </w:rPr>
        <w:t>资源向公共交通倾斜，加强过境分流。</w:t>
      </w:r>
      <w:r>
        <w:rPr>
          <w:rFonts w:hint="eastAsia"/>
          <w:sz w:val="32"/>
          <w:szCs w:val="32"/>
          <w:lang w:eastAsia="zh-CN"/>
        </w:rPr>
        <w:t>强化泉城路、大明湖路作为城市向公交走廊的联系作用，尽快启动中运量系统建设，加强趵突泉北路公交专用道建设，确保专权专用。以历史城区为视野，优化公共交通设施，规划新增4条社区公交环线，提高商埠公交可达性，促进公交系统微循环；结合轨道交通站点、公交首末站及景点出入口，规划12处公共自行车停车场；历史城区景点分布沿护城河、大明湖，泉城广场等开敞空间，规划休闲绿道；历史城区实现护城河内外区域差别化停车管理体系；逐步推行交叉口公交信号优先</w:t>
      </w:r>
      <w:r>
        <w:rPr>
          <w:sz w:val="32"/>
          <w:szCs w:val="32"/>
        </w:rPr>
        <w:t>出行</w:t>
      </w:r>
      <w:r>
        <w:rPr>
          <w:rFonts w:hint="eastAsia"/>
          <w:sz w:val="32"/>
          <w:szCs w:val="32"/>
          <w:lang w:eastAsia="zh-CN"/>
        </w:rPr>
        <w:t>。增设观光公交线路，串联中优片区，形成历史城区6大历史文化展示主题区</w:t>
      </w:r>
      <w:r>
        <w:rPr>
          <w:sz w:val="32"/>
          <w:szCs w:val="32"/>
        </w:rPr>
        <w:t>无缝衔接。</w:t>
      </w:r>
    </w:p>
    <w:p>
      <w:pPr>
        <w:pStyle w:val="2"/>
        <w:jc w:val="center"/>
        <w:rPr>
          <w:rFonts w:hint="eastAsia" w:eastAsia="仿宋_GB2312"/>
          <w:lang w:eastAsia="zh-CN"/>
        </w:rPr>
      </w:pPr>
      <w:r>
        <w:rPr>
          <w:rFonts w:hint="eastAsia" w:eastAsia="仿宋_GB2312"/>
          <w:lang w:eastAsia="zh-CN"/>
        </w:rPr>
        <w:drawing>
          <wp:inline distT="0" distB="0" distL="114300" distR="114300">
            <wp:extent cx="5340985" cy="3599815"/>
            <wp:effectExtent l="0" t="0" r="12065" b="635"/>
            <wp:docPr id="107" name="图片 107" descr="10780c96a541d6c5ae00708a3af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0780c96a541d6c5ae00708a3af2563"/>
                    <pic:cNvPicPr>
                      <a:picLocks noChangeAspect="1"/>
                    </pic:cNvPicPr>
                  </pic:nvPicPr>
                  <pic:blipFill>
                    <a:blip r:embed="rId11"/>
                    <a:stretch>
                      <a:fillRect/>
                    </a:stretch>
                  </pic:blipFill>
                  <pic:spPr>
                    <a:xfrm>
                      <a:off x="0" y="0"/>
                      <a:ext cx="5340985" cy="3599815"/>
                    </a:xfrm>
                    <a:prstGeom prst="rect">
                      <a:avLst/>
                    </a:prstGeom>
                  </pic:spPr>
                </pic:pic>
              </a:graphicData>
            </a:graphic>
          </wp:inline>
        </w:drawing>
      </w:r>
    </w:p>
    <w:p>
      <w:pPr>
        <w:pStyle w:val="2"/>
        <w:jc w:val="center"/>
        <w:rPr>
          <w:rFonts w:hint="default" w:eastAsia="宋体"/>
          <w:lang w:val="en-US" w:eastAsia="zh-CN"/>
        </w:rPr>
      </w:pPr>
      <w:r>
        <w:rPr>
          <w:rFonts w:hint="eastAsia" w:ascii="宋体" w:eastAsia="宋体"/>
          <w:sz w:val="21"/>
        </w:rPr>
        <w:t xml:space="preserve">图 </w:t>
      </w:r>
      <w:r>
        <w:rPr>
          <w:rFonts w:ascii="Times New Roman" w:eastAsia="Times New Roman"/>
          <w:sz w:val="21"/>
        </w:rPr>
        <w:t>3-</w:t>
      </w:r>
      <w:r>
        <w:rPr>
          <w:rFonts w:hint="eastAsia" w:ascii="Times New Roman" w:eastAsia="宋体"/>
          <w:sz w:val="21"/>
          <w:lang w:val="en-US" w:eastAsia="zh-CN"/>
        </w:rPr>
        <w:t>4</w:t>
      </w:r>
      <w:r>
        <w:rPr>
          <w:rFonts w:hint="eastAsia" w:ascii="宋体" w:eastAsia="宋体"/>
          <w:sz w:val="21"/>
          <w:lang w:val="en-US" w:eastAsia="zh-CN"/>
        </w:rPr>
        <w:t>济南古城（明府城片区）公共交通线路</w:t>
      </w:r>
    </w:p>
    <w:p>
      <w:pPr>
        <w:pStyle w:val="2"/>
        <w:rPr>
          <w:rFonts w:hint="eastAsia" w:eastAsia="仿宋_GB2312"/>
          <w:lang w:eastAsia="zh-CN"/>
        </w:rPr>
      </w:pPr>
      <w:r>
        <w:rPr>
          <w:rFonts w:hint="eastAsia" w:eastAsia="仿宋_GB2312"/>
          <w:lang w:eastAsia="zh-CN"/>
        </w:rPr>
        <w:drawing>
          <wp:inline distT="0" distB="0" distL="114300" distR="114300">
            <wp:extent cx="5019040" cy="3599815"/>
            <wp:effectExtent l="0" t="0" r="10160" b="635"/>
            <wp:docPr id="108" name="图片 108" descr="6c415c896d6cef6ca82be7199a45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c415c896d6cef6ca82be7199a4505f"/>
                    <pic:cNvPicPr>
                      <a:picLocks noChangeAspect="1"/>
                    </pic:cNvPicPr>
                  </pic:nvPicPr>
                  <pic:blipFill>
                    <a:blip r:embed="rId12"/>
                    <a:stretch>
                      <a:fillRect/>
                    </a:stretch>
                  </pic:blipFill>
                  <pic:spPr>
                    <a:xfrm>
                      <a:off x="0" y="0"/>
                      <a:ext cx="5019040" cy="3599815"/>
                    </a:xfrm>
                    <a:prstGeom prst="rect">
                      <a:avLst/>
                    </a:prstGeom>
                  </pic:spPr>
                </pic:pic>
              </a:graphicData>
            </a:graphic>
          </wp:inline>
        </w:drawing>
      </w:r>
    </w:p>
    <w:p>
      <w:pPr>
        <w:pStyle w:val="2"/>
        <w:rPr>
          <w:rFonts w:hint="eastAsia" w:eastAsia="仿宋_GB2312"/>
          <w:lang w:eastAsia="zh-CN"/>
        </w:rPr>
      </w:pPr>
    </w:p>
    <w:p>
      <w:pPr>
        <w:pStyle w:val="2"/>
        <w:jc w:val="center"/>
        <w:rPr>
          <w:rFonts w:hint="default" w:eastAsia="宋体"/>
          <w:lang w:val="en-US" w:eastAsia="zh-CN"/>
        </w:rPr>
      </w:pPr>
      <w:r>
        <w:rPr>
          <w:rFonts w:hint="eastAsia" w:ascii="宋体" w:eastAsia="宋体"/>
          <w:sz w:val="21"/>
        </w:rPr>
        <w:t xml:space="preserve">图 </w:t>
      </w:r>
      <w:r>
        <w:rPr>
          <w:rFonts w:ascii="Times New Roman" w:eastAsia="Times New Roman"/>
          <w:sz w:val="21"/>
        </w:rPr>
        <w:t>3-</w:t>
      </w:r>
      <w:r>
        <w:rPr>
          <w:rFonts w:hint="eastAsia" w:ascii="Times New Roman" w:eastAsia="宋体"/>
          <w:sz w:val="21"/>
          <w:lang w:val="en-US" w:eastAsia="zh-CN"/>
        </w:rPr>
        <w:t>5</w:t>
      </w:r>
      <w:r>
        <w:rPr>
          <w:rFonts w:hint="eastAsia" w:ascii="宋体" w:eastAsia="宋体"/>
          <w:sz w:val="21"/>
          <w:lang w:val="en-US" w:eastAsia="zh-CN"/>
        </w:rPr>
        <w:t>济南古城（明府城片区）观光公交线路</w:t>
      </w:r>
    </w:p>
    <w:p>
      <w:pPr>
        <w:keepNext w:val="0"/>
        <w:keepLines w:val="0"/>
        <w:pageBreakBefore w:val="0"/>
        <w:widowControl w:val="0"/>
        <w:kinsoku/>
        <w:wordWrap/>
        <w:overflowPunct/>
        <w:topLinePunct w:val="0"/>
        <w:autoSpaceDE w:val="0"/>
        <w:autoSpaceDN w:val="0"/>
        <w:bidi w:val="0"/>
        <w:adjustRightInd/>
        <w:snapToGrid/>
        <w:spacing w:before="0" w:line="360" w:lineRule="auto"/>
        <w:ind w:right="306" w:firstLine="643" w:firstLineChars="200"/>
        <w:jc w:val="left"/>
        <w:textAlignment w:val="auto"/>
        <w:rPr>
          <w:rFonts w:hint="eastAsia"/>
          <w:sz w:val="32"/>
          <w:szCs w:val="32"/>
          <w:lang w:eastAsia="zh-CN"/>
        </w:rPr>
      </w:pPr>
      <w:r>
        <w:rPr>
          <w:rFonts w:hint="eastAsia"/>
          <w:b/>
          <w:sz w:val="32"/>
          <w:szCs w:val="32"/>
          <w:lang w:eastAsia="zh-CN"/>
        </w:rPr>
        <w:t>逐步限制社会车辆，构建古城无车区。</w:t>
      </w:r>
      <w:r>
        <w:rPr>
          <w:rFonts w:hint="eastAsia"/>
          <w:sz w:val="32"/>
          <w:szCs w:val="32"/>
        </w:rPr>
        <w:t>逐步实现规划区域社会车辆禁行</w:t>
      </w:r>
      <w:r>
        <w:rPr>
          <w:rFonts w:hint="eastAsia"/>
          <w:sz w:val="32"/>
          <w:szCs w:val="32"/>
          <w:lang w:eastAsia="zh-CN"/>
        </w:rPr>
        <w:t>。</w:t>
      </w:r>
      <w:r>
        <w:rPr>
          <w:rFonts w:hint="eastAsia"/>
          <w:sz w:val="32"/>
          <w:szCs w:val="32"/>
        </w:rPr>
        <w:t>引导外围车辆绕行，并在外围设置协调区</w:t>
      </w:r>
      <w:r>
        <w:rPr>
          <w:rFonts w:hint="eastAsia"/>
          <w:sz w:val="32"/>
          <w:szCs w:val="32"/>
          <w:lang w:eastAsia="zh-CN"/>
        </w:rPr>
        <w:t>。</w:t>
      </w:r>
      <w:r>
        <w:rPr>
          <w:rFonts w:hint="eastAsia"/>
          <w:sz w:val="32"/>
          <w:szCs w:val="32"/>
        </w:rPr>
        <w:t>环路+停车换乘停车模式，促进禁行区内外交通转换</w:t>
      </w:r>
      <w:r>
        <w:rPr>
          <w:rFonts w:hint="eastAsia"/>
          <w:sz w:val="32"/>
          <w:szCs w:val="32"/>
          <w:lang w:eastAsia="zh-CN"/>
        </w:rPr>
        <w:t>。</w:t>
      </w:r>
      <w:r>
        <w:rPr>
          <w:rFonts w:hint="eastAsia"/>
          <w:sz w:val="32"/>
          <w:szCs w:val="32"/>
        </w:rPr>
        <w:t>协调区利用绿地、广场、高架下方，</w:t>
      </w:r>
      <w:r>
        <w:rPr>
          <w:rFonts w:hint="eastAsia"/>
          <w:sz w:val="32"/>
          <w:szCs w:val="32"/>
          <w:lang w:eastAsia="zh-CN"/>
        </w:rPr>
        <w:t>其他</w:t>
      </w:r>
      <w:r>
        <w:rPr>
          <w:rFonts w:hint="eastAsia"/>
          <w:sz w:val="32"/>
          <w:szCs w:val="32"/>
        </w:rPr>
        <w:t>边角地块设置停车设施</w:t>
      </w:r>
      <w:r>
        <w:rPr>
          <w:rFonts w:hint="eastAsia"/>
          <w:sz w:val="32"/>
          <w:szCs w:val="32"/>
          <w:lang w:eastAsia="zh-CN"/>
        </w:rPr>
        <w:t>。</w:t>
      </w:r>
      <w:r>
        <w:rPr>
          <w:rFonts w:hint="eastAsia"/>
          <w:sz w:val="32"/>
          <w:szCs w:val="32"/>
        </w:rPr>
        <w:t>外围结合城市更新、旧改、拆迁、地铁建设等的征拆建设停车设施</w:t>
      </w:r>
      <w:r>
        <w:rPr>
          <w:rFonts w:hint="eastAsia"/>
          <w:sz w:val="32"/>
          <w:szCs w:val="32"/>
          <w:lang w:eastAsia="zh-CN"/>
        </w:rPr>
        <w:t>。不再增加机动车供给，并逐步将现有停车场转变为非机动车停放空间。倡导慢行旅游环境，根据大数据增设自行车、电动车停放站点。</w:t>
      </w:r>
    </w:p>
    <w:p>
      <w:pPr>
        <w:keepNext w:val="0"/>
        <w:keepLines w:val="0"/>
        <w:pageBreakBefore w:val="0"/>
        <w:widowControl w:val="0"/>
        <w:kinsoku/>
        <w:wordWrap/>
        <w:overflowPunct/>
        <w:topLinePunct w:val="0"/>
        <w:autoSpaceDE w:val="0"/>
        <w:autoSpaceDN w:val="0"/>
        <w:bidi w:val="0"/>
        <w:adjustRightInd/>
        <w:snapToGrid/>
        <w:spacing w:before="0" w:line="360" w:lineRule="auto"/>
        <w:ind w:right="306" w:firstLine="643" w:firstLineChars="200"/>
        <w:jc w:val="left"/>
        <w:textAlignment w:val="auto"/>
        <w:rPr>
          <w:rFonts w:hint="eastAsia" w:ascii="仿宋_GB2312" w:hAnsi="仿宋_GB2312" w:eastAsia="仿宋_GB2312" w:cs="仿宋_GB2312"/>
          <w:sz w:val="32"/>
          <w:szCs w:val="32"/>
          <w:lang w:val="zh-CN" w:eastAsia="zh-CN" w:bidi="zh-CN"/>
        </w:rPr>
      </w:pPr>
      <w:r>
        <w:rPr>
          <w:rFonts w:hint="eastAsia" w:ascii="仿宋_GB2312" w:hAnsi="仿宋_GB2312" w:eastAsia="仿宋_GB2312" w:cs="仿宋_GB2312"/>
          <w:b/>
          <w:sz w:val="32"/>
          <w:szCs w:val="32"/>
          <w:lang w:val="zh-CN" w:eastAsia="zh-CN" w:bidi="zh-CN"/>
        </w:rPr>
        <w:t>打通与一湖一环的6个联系入口。</w:t>
      </w:r>
      <w:r>
        <w:rPr>
          <w:rFonts w:hint="eastAsia" w:ascii="仿宋_GB2312" w:hAnsi="仿宋_GB2312" w:eastAsia="仿宋_GB2312" w:cs="仿宋_GB2312"/>
          <w:sz w:val="32"/>
          <w:szCs w:val="32"/>
          <w:lang w:val="zh-CN" w:eastAsia="zh-CN" w:bidi="zh-CN"/>
        </w:rPr>
        <w:t>形成20条文化探访路径，引导</w:t>
      </w:r>
      <w:r>
        <w:rPr>
          <w:rFonts w:hint="eastAsia" w:ascii="仿宋_GB2312" w:hAnsi="仿宋_GB2312" w:eastAsia="仿宋_GB2312" w:cs="仿宋_GB2312"/>
          <w:sz w:val="32"/>
          <w:szCs w:val="32"/>
          <w:lang w:val="en-US" w:eastAsia="zh-CN" w:bidi="zh-CN"/>
        </w:rPr>
        <w:t>游客</w:t>
      </w:r>
      <w:r>
        <w:rPr>
          <w:rFonts w:hint="eastAsia" w:ascii="仿宋_GB2312" w:hAnsi="仿宋_GB2312" w:eastAsia="仿宋_GB2312" w:cs="仿宋_GB2312"/>
          <w:sz w:val="32"/>
          <w:szCs w:val="32"/>
          <w:lang w:val="zh-CN" w:eastAsia="zh-CN" w:bidi="zh-CN"/>
        </w:rPr>
        <w:t>步行体验街区。整治内部道路，打通交通路网：1条道路+2处围墙拆除；11处打通；3处拓宽；12条道路缩窄；2处开放；增加7处打通建筑（东花墙子街/将军庙街/后宰门街/天主教堂南侧/将军庙至西熨斗隅街）。</w:t>
      </w:r>
      <w:r>
        <w:rPr>
          <w:rFonts w:hint="eastAsia" w:ascii="仿宋_GB2312" w:hAnsi="仿宋_GB2312" w:eastAsia="仿宋_GB2312" w:cs="仿宋_GB2312"/>
          <w:sz w:val="32"/>
          <w:szCs w:val="32"/>
          <w:lang w:val="en-US" w:eastAsia="zh-CN" w:bidi="zh-CN"/>
        </w:rPr>
        <w:t>拆除3个建筑，</w:t>
      </w:r>
      <w:r>
        <w:rPr>
          <w:rFonts w:hint="eastAsia" w:ascii="仿宋_GB2312" w:hAnsi="仿宋_GB2312" w:eastAsia="仿宋_GB2312" w:cs="仿宋_GB2312"/>
          <w:sz w:val="32"/>
          <w:szCs w:val="32"/>
          <w:lang w:val="zh-CN" w:eastAsia="zh-CN" w:bidi="zh-CN"/>
        </w:rPr>
        <w:t>打通西侧入口，连接五龙潭。拆除珍珠泉大院西侧和北侧围墙约400米，其中保留墙基约300米，打开入口节点6处。</w:t>
      </w:r>
    </w:p>
    <w:p>
      <w:pPr>
        <w:pStyle w:val="2"/>
        <w:rPr>
          <w:rFonts w:hint="eastAsia"/>
          <w:lang w:val="zh-CN" w:eastAsia="zh-CN"/>
        </w:rPr>
      </w:pPr>
      <w:r>
        <w:rPr>
          <w:rFonts w:hint="eastAsia"/>
          <w:lang w:val="zh-CN" w:eastAsia="zh-CN"/>
        </w:rPr>
        <w:drawing>
          <wp:inline distT="0" distB="0" distL="114300" distR="114300">
            <wp:extent cx="4533265" cy="3599815"/>
            <wp:effectExtent l="0" t="0" r="635" b="635"/>
            <wp:docPr id="109" name="图片 109" descr="39bcbd292d65ccd9c8544f863f51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39bcbd292d65ccd9c8544f863f5144e"/>
                    <pic:cNvPicPr>
                      <a:picLocks noChangeAspect="1"/>
                    </pic:cNvPicPr>
                  </pic:nvPicPr>
                  <pic:blipFill>
                    <a:blip r:embed="rId13"/>
                    <a:stretch>
                      <a:fillRect/>
                    </a:stretch>
                  </pic:blipFill>
                  <pic:spPr>
                    <a:xfrm>
                      <a:off x="0" y="0"/>
                      <a:ext cx="4533265" cy="3599815"/>
                    </a:xfrm>
                    <a:prstGeom prst="rect">
                      <a:avLst/>
                    </a:prstGeom>
                  </pic:spPr>
                </pic:pic>
              </a:graphicData>
            </a:graphic>
          </wp:inline>
        </w:drawing>
      </w:r>
    </w:p>
    <w:p>
      <w:pPr>
        <w:pStyle w:val="2"/>
        <w:rPr>
          <w:rFonts w:hint="eastAsia"/>
          <w:lang w:val="zh-CN" w:eastAsia="zh-CN"/>
        </w:rPr>
      </w:pPr>
    </w:p>
    <w:p>
      <w:pPr>
        <w:pStyle w:val="2"/>
        <w:jc w:val="center"/>
        <w:rPr>
          <w:rFonts w:hint="default" w:eastAsia="宋体"/>
          <w:lang w:val="en-US" w:eastAsia="zh-CN"/>
        </w:rPr>
      </w:pPr>
      <w:r>
        <w:rPr>
          <w:rFonts w:hint="eastAsia" w:ascii="宋体" w:eastAsia="宋体"/>
          <w:sz w:val="21"/>
        </w:rPr>
        <w:t xml:space="preserve">图 </w:t>
      </w:r>
      <w:r>
        <w:rPr>
          <w:rFonts w:ascii="Times New Roman" w:eastAsia="Times New Roman"/>
          <w:sz w:val="21"/>
        </w:rPr>
        <w:t>3-</w:t>
      </w:r>
      <w:r>
        <w:rPr>
          <w:rFonts w:hint="eastAsia" w:ascii="Times New Roman" w:eastAsia="宋体"/>
          <w:sz w:val="21"/>
          <w:lang w:val="en-US" w:eastAsia="zh-CN"/>
        </w:rPr>
        <w:t>6</w:t>
      </w:r>
      <w:r>
        <w:rPr>
          <w:rFonts w:hint="eastAsia" w:ascii="宋体" w:eastAsia="宋体"/>
          <w:sz w:val="21"/>
          <w:lang w:val="en-US" w:eastAsia="zh-CN"/>
        </w:rPr>
        <w:t>济南古城（明府城片区）路线整治示意图</w:t>
      </w:r>
    </w:p>
    <w:p>
      <w:pPr>
        <w:pStyle w:val="2"/>
        <w:rPr>
          <w:rFonts w:hint="eastAsia"/>
          <w:lang w:val="zh-CN" w:eastAsia="zh-CN"/>
        </w:rPr>
      </w:pPr>
    </w:p>
    <w:p>
      <w:pPr>
        <w:pStyle w:val="2"/>
        <w:ind w:left="0" w:leftChars="0" w:firstLine="0" w:firstLineChars="0"/>
        <w:jc w:val="both"/>
        <w:rPr>
          <w:rFonts w:hint="eastAsia"/>
          <w:sz w:val="30"/>
          <w:lang w:val="en-US" w:eastAsia="zh-CN"/>
        </w:rPr>
      </w:pPr>
    </w:p>
    <w:p>
      <w:pPr>
        <w:pStyle w:val="2"/>
        <w:ind w:left="0" w:leftChars="0" w:firstLine="0" w:firstLineChars="0"/>
        <w:jc w:val="both"/>
        <w:rPr>
          <w:rFonts w:hint="eastAsia"/>
          <w:sz w:val="30"/>
          <w:lang w:val="en-US" w:eastAsia="zh-CN"/>
        </w:rPr>
      </w:pPr>
    </w:p>
    <w:p>
      <w:pPr>
        <w:pStyle w:val="2"/>
        <w:rPr>
          <w:rFonts w:hint="default"/>
          <w:sz w:val="30"/>
          <w:lang w:val="en-US" w:eastAsia="zh-CN"/>
        </w:rPr>
      </w:pPr>
    </w:p>
    <w:p>
      <w:pPr>
        <w:pStyle w:val="4"/>
        <w:numPr>
          <w:ilvl w:val="0"/>
          <w:numId w:val="4"/>
        </w:numPr>
        <w:ind w:left="0" w:leftChars="0" w:right="339" w:firstLine="0" w:firstLineChars="0"/>
      </w:pPr>
      <w:bookmarkStart w:id="13" w:name="_Toc1173"/>
      <w:r>
        <w:t>构建可持续的城市支撑体系</w:t>
      </w:r>
      <w:bookmarkEnd w:id="13"/>
    </w:p>
    <w:p>
      <w:pPr>
        <w:pStyle w:val="2"/>
        <w:ind w:left="0" w:leftChars="0" w:firstLine="0" w:firstLineChars="0"/>
        <w:rPr>
          <w:rFonts w:hint="default"/>
          <w:sz w:val="30"/>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510" w:firstLine="643" w:firstLineChars="200"/>
        <w:jc w:val="both"/>
        <w:textAlignment w:val="auto"/>
        <w:rPr>
          <w:rFonts w:hint="eastAsia"/>
          <w:sz w:val="32"/>
          <w:szCs w:val="32"/>
          <w:lang w:val="en-US" w:eastAsia="zh-CN"/>
        </w:rPr>
      </w:pPr>
      <w:r>
        <w:rPr>
          <w:rFonts w:hint="eastAsia"/>
          <w:b/>
          <w:sz w:val="32"/>
          <w:szCs w:val="32"/>
        </w:rPr>
        <w:t>市政优化，基础保障与智慧化并举</w:t>
      </w:r>
      <w:r>
        <w:rPr>
          <w:b/>
          <w:sz w:val="32"/>
          <w:szCs w:val="32"/>
        </w:rPr>
        <w:t>。</w:t>
      </w:r>
      <w:r>
        <w:rPr>
          <w:sz w:val="32"/>
          <w:szCs w:val="32"/>
        </w:rPr>
        <w:t>秉承</w:t>
      </w:r>
      <w:r>
        <w:rPr>
          <w:rFonts w:hint="eastAsia"/>
          <w:sz w:val="32"/>
          <w:szCs w:val="32"/>
          <w:lang w:val="en-US" w:eastAsia="zh-CN"/>
        </w:rPr>
        <w:t>人民城市为人民的</w:t>
      </w:r>
      <w:r>
        <w:rPr>
          <w:sz w:val="32"/>
          <w:szCs w:val="32"/>
        </w:rPr>
        <w:t>基本原则，</w:t>
      </w:r>
      <w:r>
        <w:rPr>
          <w:rFonts w:hint="eastAsia"/>
          <w:sz w:val="32"/>
          <w:szCs w:val="32"/>
        </w:rPr>
        <w:t>明确市政管线引入优先级，加快非标准化落实，采用先进的市政技术措施，实现市政管网综合提升</w:t>
      </w:r>
      <w:r>
        <w:rPr>
          <w:rFonts w:hint="eastAsia"/>
          <w:sz w:val="32"/>
          <w:szCs w:val="32"/>
          <w:lang w:eastAsia="zh-CN"/>
        </w:rPr>
        <w:t>，</w:t>
      </w:r>
      <w:r>
        <w:rPr>
          <w:rFonts w:hint="eastAsia"/>
          <w:sz w:val="32"/>
          <w:szCs w:val="32"/>
        </w:rPr>
        <w:t>并逐步引入智慧化管理</w:t>
      </w:r>
      <w:r>
        <w:rPr>
          <w:rFonts w:hint="eastAsia"/>
          <w:sz w:val="32"/>
          <w:szCs w:val="32"/>
          <w:lang w:eastAsia="zh-CN"/>
        </w:rPr>
        <w:t>。</w:t>
      </w:r>
      <w:r>
        <w:rPr>
          <w:rFonts w:hint="eastAsia"/>
          <w:sz w:val="32"/>
          <w:szCs w:val="32"/>
        </w:rPr>
        <w:t>优先保证给水、污水、电力、通信（含监控），其次保障雨水、燃气、热力，消防、环卫应灵活布局、科学管理。减少管道种类：实施“电代煤”取暖，不再增加集中供暖，适当引入天然气。提供多可能性的供热替代方案</w:t>
      </w:r>
      <w:r>
        <w:rPr>
          <w:rFonts w:hint="eastAsia"/>
          <w:sz w:val="32"/>
          <w:szCs w:val="32"/>
          <w:lang w:eastAsia="zh-CN"/>
        </w:rPr>
        <w:t>。</w:t>
      </w:r>
      <w:r>
        <w:rPr>
          <w:rFonts w:hint="eastAsia"/>
          <w:sz w:val="32"/>
          <w:szCs w:val="32"/>
          <w:lang w:val="en-US" w:eastAsia="zh-CN"/>
        </w:rPr>
        <w:t>在水、电、暖等基础设施建设到位的情况下，对接“十五分钟生活圈”邻里圈指标要求，增设养老社区、社区服务站面积；依据控规，落实居委级设施；结合未来征收空间，形成公服和公共空间配置单元；对于院落，结合居民需求一院一策，分类施策，进行全方位改善提升。</w:t>
      </w:r>
    </w:p>
    <w:p>
      <w:pPr>
        <w:pStyle w:val="2"/>
        <w:ind w:left="0" w:leftChars="0" w:firstLine="0" w:firstLineChars="0"/>
        <w:rPr>
          <w:rFonts w:hint="eastAsia"/>
          <w:sz w:val="30"/>
          <w:lang w:val="en-US" w:eastAsia="zh-CN"/>
        </w:rPr>
      </w:pPr>
      <w:r>
        <w:rPr>
          <w:rFonts w:hint="eastAsia"/>
          <w:sz w:val="30"/>
          <w:lang w:val="en-US" w:eastAsia="zh-CN"/>
        </w:rPr>
        <w:drawing>
          <wp:inline distT="0" distB="0" distL="114300" distR="114300">
            <wp:extent cx="5499735" cy="2769235"/>
            <wp:effectExtent l="0" t="0" r="5715" b="12065"/>
            <wp:docPr id="111" name="图片 111" descr="902809ecf89ba514dc287710fba2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902809ecf89ba514dc287710fba2c59"/>
                    <pic:cNvPicPr>
                      <a:picLocks noChangeAspect="1"/>
                    </pic:cNvPicPr>
                  </pic:nvPicPr>
                  <pic:blipFill>
                    <a:blip r:embed="rId14"/>
                    <a:stretch>
                      <a:fillRect/>
                    </a:stretch>
                  </pic:blipFill>
                  <pic:spPr>
                    <a:xfrm>
                      <a:off x="0" y="0"/>
                      <a:ext cx="5499735" cy="2769235"/>
                    </a:xfrm>
                    <a:prstGeom prst="rect">
                      <a:avLst/>
                    </a:prstGeom>
                  </pic:spPr>
                </pic:pic>
              </a:graphicData>
            </a:graphic>
          </wp:inline>
        </w:drawing>
      </w:r>
    </w:p>
    <w:p>
      <w:pPr>
        <w:pStyle w:val="2"/>
        <w:ind w:left="0" w:leftChars="0" w:firstLine="0" w:firstLineChars="0"/>
        <w:rPr>
          <w:rFonts w:hint="eastAsia"/>
          <w:sz w:val="30"/>
          <w:lang w:val="en-US" w:eastAsia="zh-CN"/>
        </w:rPr>
      </w:pPr>
    </w:p>
    <w:p>
      <w:pPr>
        <w:pStyle w:val="2"/>
        <w:jc w:val="center"/>
        <w:rPr>
          <w:rFonts w:hint="eastAsia"/>
          <w:sz w:val="30"/>
          <w:lang w:val="en-US" w:eastAsia="zh-CN"/>
        </w:rPr>
      </w:pPr>
      <w:r>
        <w:rPr>
          <w:rFonts w:hint="eastAsia" w:ascii="宋体" w:eastAsia="宋体"/>
          <w:sz w:val="21"/>
        </w:rPr>
        <w:t xml:space="preserve">图 </w:t>
      </w:r>
      <w:r>
        <w:rPr>
          <w:rFonts w:ascii="Times New Roman" w:eastAsia="Times New Roman"/>
          <w:sz w:val="21"/>
        </w:rPr>
        <w:t>3-</w:t>
      </w:r>
      <w:r>
        <w:rPr>
          <w:rFonts w:hint="eastAsia" w:ascii="Times New Roman" w:eastAsia="宋体"/>
          <w:sz w:val="21"/>
          <w:lang w:val="en-US" w:eastAsia="zh-CN"/>
        </w:rPr>
        <w:t>7</w:t>
      </w:r>
      <w:r>
        <w:rPr>
          <w:rFonts w:hint="eastAsia" w:ascii="宋体" w:eastAsia="宋体"/>
          <w:sz w:val="21"/>
          <w:lang w:val="en-US" w:eastAsia="zh-CN"/>
        </w:rPr>
        <w:t>济南古城（明府城片区）综合管线布置示</w:t>
      </w:r>
      <w:r>
        <w:rPr>
          <w:rFonts w:hint="eastAsia"/>
          <w:sz w:val="30"/>
          <w:lang w:val="en-US" w:eastAsia="zh-CN"/>
        </w:rPr>
        <w:drawing>
          <wp:inline distT="0" distB="0" distL="114300" distR="114300">
            <wp:extent cx="4993005" cy="2810510"/>
            <wp:effectExtent l="0" t="0" r="17145" b="8890"/>
            <wp:docPr id="110" name="图片 110" descr="80d5d1cb55063447da6ca234eded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80d5d1cb55063447da6ca234eded13f"/>
                    <pic:cNvPicPr>
                      <a:picLocks noChangeAspect="1"/>
                    </pic:cNvPicPr>
                  </pic:nvPicPr>
                  <pic:blipFill>
                    <a:blip r:embed="rId15"/>
                    <a:stretch>
                      <a:fillRect/>
                    </a:stretch>
                  </pic:blipFill>
                  <pic:spPr>
                    <a:xfrm>
                      <a:off x="0" y="0"/>
                      <a:ext cx="4993005" cy="2810510"/>
                    </a:xfrm>
                    <a:prstGeom prst="rect">
                      <a:avLst/>
                    </a:prstGeom>
                  </pic:spPr>
                </pic:pic>
              </a:graphicData>
            </a:graphic>
          </wp:inline>
        </w:drawing>
      </w:r>
    </w:p>
    <w:p>
      <w:pPr>
        <w:pStyle w:val="2"/>
        <w:ind w:left="0" w:leftChars="0" w:firstLine="0" w:firstLineChars="0"/>
        <w:rPr>
          <w:rFonts w:hint="eastAsia"/>
          <w:sz w:val="30"/>
          <w:lang w:val="en-US" w:eastAsia="zh-CN"/>
        </w:rPr>
      </w:pPr>
    </w:p>
    <w:p>
      <w:pPr>
        <w:pStyle w:val="2"/>
        <w:jc w:val="center"/>
        <w:rPr>
          <w:rFonts w:hint="default" w:eastAsia="宋体"/>
          <w:lang w:val="en-US" w:eastAsia="zh-CN"/>
        </w:rPr>
      </w:pPr>
      <w:r>
        <w:rPr>
          <w:rFonts w:hint="eastAsia" w:ascii="宋体" w:eastAsia="宋体"/>
          <w:sz w:val="21"/>
        </w:rPr>
        <w:t xml:space="preserve">图 </w:t>
      </w:r>
      <w:r>
        <w:rPr>
          <w:rFonts w:ascii="Times New Roman" w:eastAsia="Times New Roman"/>
          <w:sz w:val="21"/>
        </w:rPr>
        <w:t>3-</w:t>
      </w:r>
      <w:r>
        <w:rPr>
          <w:rFonts w:hint="eastAsia" w:ascii="Times New Roman" w:eastAsia="宋体"/>
          <w:sz w:val="21"/>
          <w:lang w:val="en-US" w:eastAsia="zh-CN"/>
        </w:rPr>
        <w:t>8</w:t>
      </w:r>
      <w:r>
        <w:rPr>
          <w:rFonts w:hint="eastAsia" w:ascii="宋体" w:eastAsia="宋体"/>
          <w:sz w:val="21"/>
          <w:lang w:val="en-US" w:eastAsia="zh-CN"/>
        </w:rPr>
        <w:t>济南古城（明府城片区）院落整治示意图</w:t>
      </w:r>
    </w:p>
    <w:p>
      <w:pPr>
        <w:pStyle w:val="2"/>
        <w:rPr>
          <w:rFonts w:hint="default"/>
          <w:sz w:val="30"/>
          <w:lang w:val="en-US" w:eastAsia="zh-CN"/>
        </w:rPr>
        <w:sectPr>
          <w:pgSz w:w="11910" w:h="16840"/>
          <w:pgMar w:top="1360" w:right="1180" w:bottom="1380" w:left="1520" w:header="0" w:footer="1116" w:gutter="0"/>
          <w:cols w:space="720" w:num="1"/>
        </w:sectPr>
      </w:pPr>
    </w:p>
    <w:p>
      <w:pPr>
        <w:pStyle w:val="6"/>
        <w:spacing w:before="58" w:line="320" w:lineRule="exact"/>
        <w:ind w:right="520"/>
        <w:jc w:val="both"/>
      </w:pPr>
    </w:p>
    <w:p>
      <w:pPr>
        <w:pStyle w:val="3"/>
        <w:spacing w:before="48"/>
        <w:ind w:right="339"/>
      </w:pPr>
      <w:bookmarkStart w:id="14" w:name="_Toc9089"/>
      <w:r>
        <w:t>第四章 构造</w:t>
      </w:r>
      <w:r>
        <w:rPr>
          <w:rFonts w:hint="eastAsia"/>
          <w:lang w:val="en-US" w:eastAsia="zh-CN"/>
        </w:rPr>
        <w:t>济南古城（明府城片区）业态</w:t>
      </w:r>
      <w:r>
        <w:t>体系</w:t>
      </w:r>
      <w:bookmarkEnd w:id="14"/>
    </w:p>
    <w:p>
      <w:pPr>
        <w:pStyle w:val="6"/>
        <w:spacing w:before="18"/>
        <w:rPr>
          <w:rFonts w:ascii="微软雅黑"/>
          <w:b/>
          <w:sz w:val="28"/>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181" w:right="510" w:firstLine="601"/>
        <w:jc w:val="both"/>
        <w:textAlignment w:val="auto"/>
        <w:rPr>
          <w:rFonts w:hint="default" w:ascii="宋体" w:hAnsi="宋体" w:eastAsia="仿宋_GB2312"/>
          <w:b/>
          <w:sz w:val="32"/>
          <w:szCs w:val="32"/>
          <w:lang w:val="en-US" w:eastAsia="zh-CN"/>
        </w:rPr>
      </w:pPr>
      <w:r>
        <w:rPr>
          <w:rFonts w:hint="eastAsia"/>
          <w:sz w:val="32"/>
          <w:szCs w:val="32"/>
          <w:lang w:val="en-US" w:eastAsia="zh-CN"/>
        </w:rPr>
        <w:t>济南古城（明府城片区）城市更新</w:t>
      </w:r>
      <w:r>
        <w:rPr>
          <w:sz w:val="32"/>
          <w:szCs w:val="32"/>
        </w:rPr>
        <w:t>坚持以</w:t>
      </w:r>
      <w:r>
        <w:rPr>
          <w:rFonts w:hint="eastAsia"/>
          <w:sz w:val="32"/>
          <w:szCs w:val="32"/>
          <w:lang w:val="en-US" w:eastAsia="zh-CN"/>
        </w:rPr>
        <w:t>习近平总书记</w:t>
      </w:r>
      <w:r>
        <w:rPr>
          <w:rFonts w:hint="eastAsia"/>
          <w:sz w:val="32"/>
          <w:szCs w:val="32"/>
        </w:rPr>
        <w:t>加强文物保护利用和文化遗产保护传承</w:t>
      </w:r>
      <w:r>
        <w:rPr>
          <w:rFonts w:hint="eastAsia"/>
          <w:sz w:val="32"/>
          <w:szCs w:val="32"/>
          <w:lang w:val="en-US" w:eastAsia="zh-CN"/>
        </w:rPr>
        <w:t>思想为</w:t>
      </w:r>
      <w:r>
        <w:rPr>
          <w:sz w:val="32"/>
          <w:szCs w:val="32"/>
        </w:rPr>
        <w:t>指引，坚定不移促进</w:t>
      </w:r>
      <w:r>
        <w:rPr>
          <w:rFonts w:hint="eastAsia"/>
          <w:sz w:val="32"/>
          <w:szCs w:val="32"/>
          <w:lang w:val="en-US" w:eastAsia="zh-CN"/>
        </w:rPr>
        <w:t>非物质文化遗产传承发展</w:t>
      </w:r>
      <w:r>
        <w:rPr>
          <w:sz w:val="32"/>
          <w:szCs w:val="32"/>
        </w:rPr>
        <w:t>，</w:t>
      </w:r>
      <w:r>
        <w:rPr>
          <w:rFonts w:hint="eastAsia"/>
          <w:sz w:val="32"/>
          <w:szCs w:val="32"/>
        </w:rPr>
        <w:t>严格保护古城与商埠并举、城泉共生的城市风貌格局</w:t>
      </w:r>
      <w:r>
        <w:rPr>
          <w:rFonts w:hint="eastAsia"/>
          <w:sz w:val="32"/>
          <w:szCs w:val="32"/>
          <w:lang w:eastAsia="zh-CN"/>
        </w:rPr>
        <w:t>，</w:t>
      </w:r>
      <w:r>
        <w:rPr>
          <w:rFonts w:hint="eastAsia"/>
          <w:sz w:val="32"/>
          <w:szCs w:val="32"/>
        </w:rPr>
        <w:t>延续优秀传统、守住发展根基</w:t>
      </w:r>
      <w:r>
        <w:rPr>
          <w:rFonts w:hint="eastAsia"/>
          <w:sz w:val="32"/>
          <w:szCs w:val="32"/>
          <w:lang w:eastAsia="zh-CN"/>
        </w:rPr>
        <w:t>。</w:t>
      </w:r>
      <w:r>
        <w:rPr>
          <w:rFonts w:hint="eastAsia"/>
          <w:sz w:val="32"/>
          <w:szCs w:val="32"/>
          <w:lang w:val="en-US" w:eastAsia="zh-CN"/>
        </w:rPr>
        <w:t>构建以非遗文化保护传承为重心的业态体系</w:t>
      </w:r>
    </w:p>
    <w:p>
      <w:pPr>
        <w:pStyle w:val="4"/>
        <w:numPr>
          <w:ilvl w:val="0"/>
          <w:numId w:val="5"/>
        </w:numPr>
        <w:spacing w:before="73"/>
        <w:ind w:left="0" w:leftChars="0" w:right="338" w:firstLine="0" w:firstLineChars="0"/>
        <w:rPr>
          <w:rFonts w:hint="default" w:eastAsia="微软雅黑"/>
          <w:lang w:val="en-US" w:eastAsia="zh-CN"/>
        </w:rPr>
      </w:pPr>
      <w:bookmarkStart w:id="15" w:name="_Toc24999"/>
      <w:r>
        <w:rPr>
          <w:rFonts w:hint="eastAsia"/>
          <w:lang w:val="en-US" w:eastAsia="zh-CN"/>
        </w:rPr>
        <w:t>引入业态正面清单</w:t>
      </w:r>
      <w:bookmarkEnd w:id="15"/>
    </w:p>
    <w:p>
      <w:pPr>
        <w:pStyle w:val="6"/>
        <w:spacing w:line="382" w:lineRule="exact"/>
        <w:ind w:left="182" w:firstLine="602" w:firstLineChars="200"/>
        <w:jc w:val="both"/>
        <w:rPr>
          <w:rFonts w:hint="eastAsia"/>
          <w:b/>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182" w:firstLine="643" w:firstLineChars="200"/>
        <w:jc w:val="both"/>
        <w:textAlignment w:val="auto"/>
        <w:rPr>
          <w:rFonts w:hint="eastAsia"/>
          <w:spacing w:val="-6"/>
          <w:sz w:val="32"/>
          <w:szCs w:val="32"/>
          <w:lang w:eastAsia="zh-CN"/>
        </w:rPr>
      </w:pPr>
      <w:r>
        <w:rPr>
          <w:rFonts w:hint="eastAsia"/>
          <w:b/>
          <w:sz w:val="32"/>
          <w:szCs w:val="32"/>
        </w:rPr>
        <w:t>传统美术、书法、音乐、舞蹈、戏剧、曲艺和杂技</w:t>
      </w:r>
      <w:r>
        <w:rPr>
          <w:b/>
          <w:sz w:val="32"/>
          <w:szCs w:val="32"/>
        </w:rPr>
        <w:t>。</w:t>
      </w:r>
      <w:r>
        <w:rPr>
          <w:rFonts w:hint="eastAsia"/>
          <w:spacing w:val="-6"/>
          <w:sz w:val="32"/>
          <w:szCs w:val="32"/>
        </w:rPr>
        <w:t>鼓励引入济南面塑、济南石家老陶烧制技艺、章丘黑陶烧制技艺等传统美术工艺业态。鼓励利用既有空间进行古琴艺术、济阳鼓子秧歌、花鞭鼓舞、梆鼓秧歌、加古通、手龙绣球灯等传统音乐舞蹈展示。鼓励宣传并组织济南皮影戏、济南吕剧、济南京剧、王皮戏、五音戏、等戏剧演出。鼓励开展山东大鼓、山东渔鼓、章丘扁鼓、高跷、山东琴书、山东快书、评词、芯子、坠子等曲艺杂技类文化活动展示</w:t>
      </w:r>
      <w:r>
        <w:rPr>
          <w:rFonts w:hint="eastAsia"/>
          <w:spacing w:val="-6"/>
          <w:sz w:val="32"/>
          <w:szCs w:val="32"/>
          <w:lang w:eastAsia="zh-CN"/>
        </w:rPr>
        <w:t>。</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0" w:firstLine="659" w:firstLineChars="200"/>
        <w:textAlignment w:val="auto"/>
        <w:rPr>
          <w:sz w:val="32"/>
          <w:szCs w:val="32"/>
        </w:rPr>
      </w:pPr>
      <w:r>
        <w:rPr>
          <w:rFonts w:hint="eastAsia"/>
          <w:b/>
          <w:spacing w:val="4"/>
          <w:sz w:val="32"/>
          <w:szCs w:val="32"/>
        </w:rPr>
        <w:t>传统礼仪、节庆等民俗</w:t>
      </w:r>
      <w:r>
        <w:rPr>
          <w:b/>
          <w:spacing w:val="4"/>
          <w:sz w:val="32"/>
          <w:szCs w:val="32"/>
        </w:rPr>
        <w:t>。</w:t>
      </w:r>
      <w:r>
        <w:rPr>
          <w:rFonts w:hint="eastAsia"/>
          <w:spacing w:val="-6"/>
          <w:sz w:val="32"/>
          <w:szCs w:val="32"/>
        </w:rPr>
        <w:t>通过大舜的传说、闵子骞传说、</w:t>
      </w:r>
      <w:r>
        <w:rPr>
          <w:rFonts w:hint="eastAsia"/>
          <w:spacing w:val="-6"/>
          <w:sz w:val="32"/>
          <w:szCs w:val="32"/>
          <w:lang w:val="en-US" w:eastAsia="zh-CN"/>
        </w:rPr>
        <w:t>和</w:t>
      </w:r>
      <w:r>
        <w:rPr>
          <w:rFonts w:hint="eastAsia"/>
          <w:spacing w:val="-6"/>
          <w:sz w:val="32"/>
          <w:szCs w:val="32"/>
        </w:rPr>
        <w:t xml:space="preserve">圣柳下惠的传说故事、孟姜女传说、扁鹊传说、张尔歧传说、马山故事、玉皇山传说等名人名地历史故事的宣讲与展示，鼓励市民及青少年学习传统礼仪，传承文化精神。鼓励引入仲宫白酒传统酿造、济南油璇、东阿镇“福”牌阿胶、醋酿造技艺、中式服装 </w:t>
      </w:r>
      <w:r>
        <w:rPr>
          <w:rFonts w:hint="eastAsia"/>
          <w:spacing w:val="-6"/>
          <w:sz w:val="32"/>
          <w:szCs w:val="32"/>
          <w:lang w:eastAsia="zh-CN"/>
        </w:rPr>
        <w:t>（</w:t>
      </w:r>
      <w:r>
        <w:rPr>
          <w:rFonts w:hint="eastAsia"/>
          <w:spacing w:val="-6"/>
          <w:sz w:val="32"/>
          <w:szCs w:val="32"/>
        </w:rPr>
        <w:t>旗袍制作技艺</w:t>
      </w:r>
      <w:r>
        <w:rPr>
          <w:rFonts w:hint="eastAsia"/>
          <w:spacing w:val="-6"/>
          <w:sz w:val="32"/>
          <w:szCs w:val="32"/>
          <w:lang w:eastAsia="zh-CN"/>
        </w:rPr>
        <w:t>）</w:t>
      </w:r>
      <w:r>
        <w:rPr>
          <w:rFonts w:hint="eastAsia"/>
          <w:spacing w:val="-6"/>
          <w:sz w:val="32"/>
          <w:szCs w:val="32"/>
        </w:rPr>
        <w:t>、宏济堂中医药文化、章丘铁匠等传统老字号和民生习俗相关业态。鼓励宣传并继承五月十三祭天等节庆习俗。</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3" w:firstLineChars="200"/>
        <w:jc w:val="both"/>
        <w:textAlignment w:val="auto"/>
        <w:rPr>
          <w:rFonts w:hint="eastAsia" w:ascii="仿宋_GB2312" w:hAnsi="仿宋_GB2312" w:eastAsia="仿宋_GB2312" w:cs="仿宋_GB2312"/>
          <w:sz w:val="32"/>
          <w:szCs w:val="32"/>
          <w:lang w:val="zh-CN" w:eastAsia="zh-CN" w:bidi="zh-CN"/>
        </w:rPr>
      </w:pPr>
      <w:r>
        <w:rPr>
          <w:rFonts w:hint="eastAsia"/>
          <w:b/>
          <w:sz w:val="32"/>
          <w:szCs w:val="32"/>
        </w:rPr>
        <w:t>传统体育和游艺</w:t>
      </w:r>
      <w:r>
        <w:rPr>
          <w:b/>
          <w:sz w:val="32"/>
          <w:szCs w:val="32"/>
        </w:rPr>
        <w:t>。</w:t>
      </w:r>
      <w:r>
        <w:rPr>
          <w:sz w:val="32"/>
          <w:szCs w:val="32"/>
        </w:rPr>
        <w:t>发</w:t>
      </w:r>
      <w:r>
        <w:rPr>
          <w:rFonts w:hint="eastAsia"/>
          <w:sz w:val="32"/>
          <w:szCs w:val="32"/>
        </w:rPr>
        <w:t>鼓励提供公共空间作为济南形意拳、太平拳、武当太乙门等传统体育的交流活动空间。</w:t>
      </w:r>
      <w:r>
        <w:rPr>
          <w:rFonts w:hint="eastAsia" w:ascii="仿宋_GB2312" w:hAnsi="仿宋_GB2312" w:eastAsia="仿宋_GB2312" w:cs="仿宋_GB2312"/>
          <w:sz w:val="32"/>
          <w:szCs w:val="32"/>
          <w:lang w:val="zh-CN" w:eastAsia="zh-CN" w:bidi="zh-CN"/>
        </w:rPr>
        <w:t>鼓励鼓子秧歌、花鞭鼓舞、梆鼓秧歌、加古通、手龙绣球灯等传统舞蹈与千佛山庙会等娱乐活动相结合，协同宣传。</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3" w:firstLineChars="200"/>
        <w:jc w:val="both"/>
        <w:textAlignment w:val="auto"/>
        <w:rPr>
          <w:rFonts w:hint="eastAsia" w:cs="仿宋_GB2312"/>
          <w:sz w:val="32"/>
          <w:szCs w:val="32"/>
          <w:lang w:val="zh-CN" w:eastAsia="zh-CN" w:bidi="zh-CN"/>
        </w:rPr>
      </w:pPr>
      <w:r>
        <w:rPr>
          <w:rFonts w:hint="eastAsia"/>
          <w:b/>
          <w:sz w:val="32"/>
          <w:szCs w:val="32"/>
          <w:lang w:val="zh-CN" w:eastAsia="zh-CN"/>
        </w:rPr>
        <w:t>新闻出版发行服务。</w:t>
      </w:r>
      <w:r>
        <w:rPr>
          <w:rFonts w:hint="eastAsia" w:cs="仿宋_GB2312"/>
          <w:sz w:val="32"/>
          <w:szCs w:val="32"/>
          <w:lang w:val="zh-CN" w:eastAsia="zh-CN" w:bidi="zh-CN"/>
        </w:rPr>
        <w:t>鼓励引入新闻制作的工作室。鼓励引入图书报纸期刊音像制品的制作出版、展示和销售体验店。鼓励引入兼具文化展出功能的特色书店。</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3" w:firstLineChars="200"/>
        <w:jc w:val="both"/>
        <w:textAlignment w:val="auto"/>
        <w:rPr>
          <w:rFonts w:hint="eastAsia" w:cs="仿宋_GB2312"/>
          <w:sz w:val="32"/>
          <w:szCs w:val="32"/>
          <w:lang w:val="zh-CN" w:eastAsia="zh-CN" w:bidi="zh-CN"/>
        </w:rPr>
      </w:pPr>
      <w:r>
        <w:rPr>
          <w:rFonts w:hint="eastAsia"/>
          <w:b/>
          <w:sz w:val="32"/>
          <w:szCs w:val="32"/>
          <w:lang w:val="zh-CN" w:eastAsia="zh-CN"/>
        </w:rPr>
        <w:t>广播电视电影服务。</w:t>
      </w:r>
      <w:r>
        <w:rPr>
          <w:rFonts w:hint="eastAsia" w:cs="仿宋_GB2312"/>
          <w:sz w:val="32"/>
          <w:szCs w:val="32"/>
          <w:lang w:val="zh-CN" w:eastAsia="zh-CN" w:bidi="zh-CN"/>
        </w:rPr>
        <w:t>鼓励引入电影影视节目制作工作室。鼓励引入动画制作工作室。鼓励引入公益性质文化放映室。鼓励引入摄影艺术工作室。</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3" w:firstLineChars="200"/>
        <w:jc w:val="both"/>
        <w:textAlignment w:val="auto"/>
        <w:rPr>
          <w:rFonts w:hint="eastAsia" w:cs="仿宋_GB2312"/>
          <w:sz w:val="32"/>
          <w:szCs w:val="32"/>
          <w:lang w:val="zh-CN" w:eastAsia="zh-CN" w:bidi="zh-CN"/>
        </w:rPr>
      </w:pPr>
      <w:r>
        <w:rPr>
          <w:rFonts w:hint="eastAsia"/>
          <w:b/>
          <w:sz w:val="32"/>
          <w:szCs w:val="32"/>
          <w:lang w:val="zh-CN" w:eastAsia="zh-CN"/>
        </w:rPr>
        <w:t>广告会展服务。</w:t>
      </w:r>
      <w:r>
        <w:rPr>
          <w:rFonts w:hint="eastAsia" w:cs="仿宋_GB2312"/>
          <w:sz w:val="32"/>
          <w:szCs w:val="32"/>
          <w:lang w:val="zh-CN" w:eastAsia="zh-CN" w:bidi="zh-CN"/>
        </w:rPr>
        <w:t>鼓励引入广告创意工作室。鼓励引入可租赁式共享会议办公空间。鼓励引入可供临时展出的展览空间。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firstLine="643" w:firstLineChars="200"/>
        <w:jc w:val="both"/>
        <w:textAlignment w:val="auto"/>
        <w:rPr>
          <w:sz w:val="32"/>
          <w:szCs w:val="32"/>
        </w:rPr>
      </w:pPr>
      <w:r>
        <w:rPr>
          <w:rFonts w:hint="eastAsia"/>
          <w:b/>
          <w:sz w:val="32"/>
          <w:szCs w:val="32"/>
          <w:lang w:val="zh-CN" w:eastAsia="zh-CN"/>
        </w:rPr>
        <w:t>艺术品交易服务。</w:t>
      </w:r>
      <w:r>
        <w:rPr>
          <w:sz w:val="32"/>
          <w:szCs w:val="32"/>
        </w:rPr>
        <w:t>鼓励引入雕塑、漆器、刺绣、花画、珠宝首饰等工艺品制作工坊。鼓励引入艺术品、文物、古董、字画等文玩交易店。鼓励引入面向大众的陶艺、字画、非遗刺绣等艺术品体验店。</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8" w:firstLine="643" w:firstLineChars="200"/>
        <w:textAlignment w:val="auto"/>
        <w:rPr>
          <w:rFonts w:hint="eastAsia" w:eastAsia="仿宋_GB2312"/>
          <w:sz w:val="32"/>
          <w:szCs w:val="32"/>
          <w:lang w:eastAsia="zh-CN"/>
        </w:rPr>
      </w:pPr>
      <w:r>
        <w:rPr>
          <w:rFonts w:hint="eastAsia"/>
          <w:b/>
          <w:sz w:val="32"/>
          <w:szCs w:val="32"/>
          <w:lang w:val="zh-CN" w:eastAsia="zh-CN"/>
        </w:rPr>
        <w:t>设计服务。</w:t>
      </w:r>
      <w:r>
        <w:rPr>
          <w:sz w:val="32"/>
          <w:szCs w:val="32"/>
        </w:rPr>
        <w:t>鼓励引入建筑设计、室内设计、风景园林</w:t>
      </w:r>
      <w:r>
        <w:rPr>
          <w:rFonts w:hint="eastAsia"/>
          <w:sz w:val="32"/>
          <w:szCs w:val="32"/>
          <w:lang w:val="en-US" w:eastAsia="zh-CN"/>
        </w:rPr>
        <w:t>设计</w:t>
      </w:r>
      <w:r>
        <w:rPr>
          <w:sz w:val="32"/>
          <w:szCs w:val="32"/>
        </w:rPr>
        <w:t>事务所。鼓励服装、首饰、珠宝、造</w:t>
      </w:r>
      <w:r>
        <w:rPr>
          <w:spacing w:val="-1"/>
          <w:sz w:val="32"/>
          <w:szCs w:val="32"/>
        </w:rPr>
        <w:t>型设计等实体设计的创作及展销工坊。</w:t>
      </w:r>
      <w:r>
        <w:rPr>
          <w:sz w:val="32"/>
          <w:szCs w:val="32"/>
        </w:rPr>
        <w:t>鼓励引入广告设计、动画设计、UI设计、网站设计等新媒体设计工作室。鼓励引入工业设计工作室。</w:t>
      </w:r>
    </w:p>
    <w:p>
      <w:pPr>
        <w:pStyle w:val="6"/>
        <w:spacing w:line="364" w:lineRule="auto"/>
        <w:ind w:left="182" w:right="508" w:firstLine="602"/>
        <w:jc w:val="both"/>
        <w:rPr>
          <w:rFonts w:hint="eastAsia" w:eastAsia="仿宋_GB2312" w:cs="仿宋_GB2312"/>
          <w:sz w:val="30"/>
          <w:szCs w:val="30"/>
          <w:lang w:val="zh-CN" w:eastAsia="zh-CN" w:bidi="zh-CN"/>
        </w:rPr>
      </w:pPr>
    </w:p>
    <w:p>
      <w:pPr>
        <w:pStyle w:val="6"/>
        <w:spacing w:before="9"/>
        <w:rPr>
          <w:sz w:val="26"/>
        </w:rPr>
      </w:pPr>
    </w:p>
    <w:p>
      <w:pPr>
        <w:pStyle w:val="4"/>
        <w:numPr>
          <w:ilvl w:val="0"/>
          <w:numId w:val="3"/>
        </w:numPr>
        <w:ind w:left="0" w:leftChars="0" w:right="339" w:firstLine="0" w:firstLineChars="0"/>
        <w:rPr>
          <w:rFonts w:hint="eastAsia"/>
          <w:lang w:val="en-US" w:eastAsia="zh-CN"/>
        </w:rPr>
      </w:pPr>
      <w:bookmarkStart w:id="16" w:name="_Toc15655"/>
      <w:r>
        <w:rPr>
          <w:rFonts w:hint="eastAsia"/>
          <w:lang w:val="en-US" w:eastAsia="zh-CN"/>
        </w:rPr>
        <w:t>引入业态负面清单</w:t>
      </w:r>
      <w:bookmarkEnd w:id="16"/>
    </w:p>
    <w:p>
      <w:pPr>
        <w:numPr>
          <w:ilvl w:val="0"/>
          <w:numId w:val="0"/>
        </w:numPr>
        <w:ind w:leftChars="0" w:right="0" w:rightChars="0"/>
        <w:rPr>
          <w:rFonts w:hint="eastAsia"/>
          <w:lang w:eastAsia="zh-CN"/>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181" w:right="510" w:firstLine="643" w:firstLineChars="200"/>
        <w:jc w:val="both"/>
        <w:textAlignment w:val="auto"/>
        <w:rPr>
          <w:rFonts w:hint="eastAsia"/>
          <w:sz w:val="32"/>
          <w:szCs w:val="32"/>
        </w:rPr>
      </w:pPr>
      <w:r>
        <w:rPr>
          <w:rFonts w:hint="eastAsia"/>
          <w:b/>
          <w:sz w:val="32"/>
          <w:szCs w:val="32"/>
          <w:lang w:val="zh-CN" w:eastAsia="zh-CN"/>
        </w:rPr>
        <w:t>与街区功能定位相悖、传统风貌不协调的行业。</w:t>
      </w:r>
      <w:r>
        <w:rPr>
          <w:rFonts w:hint="eastAsia"/>
          <w:sz w:val="32"/>
          <w:szCs w:val="32"/>
        </w:rPr>
        <w:t>如危险化学品经营、易燃易爆物品经营、汽修、汽补、建材、殡葬用品、各类批发、加工、五金、机 械维修及生产资料等。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181" w:right="510" w:firstLine="643" w:firstLineChars="200"/>
        <w:jc w:val="both"/>
        <w:textAlignment w:val="auto"/>
        <w:rPr>
          <w:rFonts w:hint="eastAsia"/>
          <w:sz w:val="32"/>
          <w:szCs w:val="32"/>
        </w:rPr>
      </w:pPr>
      <w:r>
        <w:rPr>
          <w:rFonts w:hint="eastAsia"/>
          <w:b/>
          <w:sz w:val="32"/>
          <w:szCs w:val="32"/>
          <w:lang w:val="zh-CN" w:eastAsia="zh-CN"/>
        </w:rPr>
        <w:t>存在较大环境污染、噪声污染的业态。</w:t>
      </w:r>
      <w:r>
        <w:rPr>
          <w:rFonts w:hint="eastAsia"/>
          <w:sz w:val="32"/>
          <w:szCs w:val="32"/>
        </w:rPr>
        <w:t>如大排档、KTV、歌舞厅、游戏厅、网吧等。</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181" w:right="510" w:firstLine="643" w:firstLineChars="200"/>
        <w:jc w:val="both"/>
        <w:textAlignment w:val="auto"/>
        <w:rPr>
          <w:rFonts w:hint="eastAsia"/>
          <w:b/>
          <w:sz w:val="32"/>
          <w:szCs w:val="32"/>
          <w:lang w:val="zh-CN" w:eastAsia="zh-CN"/>
        </w:rPr>
      </w:pPr>
      <w:r>
        <w:rPr>
          <w:rFonts w:hint="eastAsia"/>
          <w:b/>
          <w:sz w:val="32"/>
          <w:szCs w:val="32"/>
          <w:lang w:val="zh-CN" w:eastAsia="zh-CN"/>
        </w:rPr>
        <w:t>缺乏特色的大众化低端商品零售业态。</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left="181" w:right="510" w:firstLine="643" w:firstLineChars="200"/>
        <w:jc w:val="both"/>
        <w:textAlignment w:val="auto"/>
      </w:pPr>
      <w:r>
        <w:rPr>
          <w:rFonts w:hint="eastAsia"/>
          <w:b/>
          <w:sz w:val="32"/>
          <w:szCs w:val="32"/>
          <w:lang w:val="zh-CN" w:eastAsia="zh-CN"/>
        </w:rPr>
        <w:t>不符合防火要求的高风险业态。</w:t>
      </w:r>
    </w:p>
    <w:p>
      <w:pPr>
        <w:pStyle w:val="4"/>
        <w:spacing w:before="201"/>
        <w:ind w:right="339"/>
        <w:rPr>
          <w:rFonts w:hint="eastAsia" w:eastAsia="微软雅黑"/>
          <w:lang w:val="en-US" w:eastAsia="zh-CN"/>
        </w:rPr>
      </w:pPr>
      <w:bookmarkStart w:id="17" w:name="_Toc29888"/>
      <w:r>
        <w:t xml:space="preserve">第三节 </w:t>
      </w:r>
      <w:r>
        <w:rPr>
          <w:rFonts w:hint="eastAsia"/>
          <w:lang w:val="en-US" w:eastAsia="zh-CN"/>
        </w:rPr>
        <w:t>打造</w:t>
      </w:r>
      <w:r>
        <w:t>高品质的生活服务业</w:t>
      </w:r>
      <w:r>
        <w:rPr>
          <w:rFonts w:hint="eastAsia"/>
          <w:lang w:val="en-US" w:eastAsia="zh-CN"/>
        </w:rPr>
        <w:t>态</w:t>
      </w:r>
      <w:bookmarkEnd w:id="17"/>
    </w:p>
    <w:p>
      <w:pPr>
        <w:pStyle w:val="6"/>
        <w:spacing w:before="9"/>
        <w:rPr>
          <w:sz w:val="2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67" w:firstLine="640" w:firstLineChars="200"/>
        <w:textAlignment w:val="auto"/>
        <w:rPr>
          <w:sz w:val="32"/>
          <w:szCs w:val="32"/>
        </w:rPr>
      </w:pPr>
      <w:r>
        <w:rPr>
          <w:sz w:val="32"/>
          <w:szCs w:val="32"/>
        </w:rPr>
        <w:t>针对</w:t>
      </w:r>
      <w:r>
        <w:rPr>
          <w:rFonts w:hint="eastAsia"/>
          <w:sz w:val="32"/>
          <w:szCs w:val="32"/>
          <w:lang w:val="en-US" w:eastAsia="zh-CN"/>
        </w:rPr>
        <w:t>济南古城（明府城片区）</w:t>
      </w:r>
      <w:r>
        <w:rPr>
          <w:sz w:val="32"/>
          <w:szCs w:val="32"/>
        </w:rPr>
        <w:t>不同人群生活服务需求，提供多元化、</w:t>
      </w:r>
      <w:r>
        <w:rPr>
          <w:spacing w:val="-8"/>
          <w:sz w:val="32"/>
          <w:szCs w:val="32"/>
        </w:rPr>
        <w:t>多情景、全时段、个性化的生活服务，培育全新生活和消费方式。</w:t>
      </w:r>
      <w:r>
        <w:rPr>
          <w:sz w:val="32"/>
          <w:szCs w:val="32"/>
        </w:rPr>
        <w:t>发展新零售经济和体验经济，培育便利化消费环境，集聚中高端消费。建设</w:t>
      </w:r>
      <w:r>
        <w:rPr>
          <w:rFonts w:hint="eastAsia"/>
          <w:sz w:val="32"/>
          <w:szCs w:val="32"/>
          <w:lang w:val="en-US" w:eastAsia="zh-CN"/>
        </w:rPr>
        <w:t>泉·城</w:t>
      </w:r>
      <w:r>
        <w:rPr>
          <w:sz w:val="32"/>
          <w:szCs w:val="32"/>
        </w:rPr>
        <w:t>特色</w:t>
      </w:r>
      <w:r>
        <w:rPr>
          <w:rFonts w:hint="eastAsia"/>
          <w:sz w:val="32"/>
          <w:szCs w:val="32"/>
          <w:lang w:val="en-US" w:eastAsia="zh-CN"/>
        </w:rPr>
        <w:t>历史文化</w:t>
      </w:r>
      <w:r>
        <w:rPr>
          <w:sz w:val="32"/>
          <w:szCs w:val="32"/>
        </w:rPr>
        <w:t>街区，发展街区经济和夜间经济，营造个性化和特色化的生活氛围，打造全时段高品质生活。</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70" w:firstLine="619" w:firstLineChars="200"/>
        <w:textAlignment w:val="auto"/>
        <w:rPr>
          <w:sz w:val="32"/>
          <w:szCs w:val="32"/>
        </w:rPr>
      </w:pPr>
      <w:r>
        <w:rPr>
          <w:b/>
          <w:spacing w:val="-6"/>
          <w:sz w:val="32"/>
          <w:szCs w:val="32"/>
        </w:rPr>
        <w:t>发展时尚便捷的新零售经济。</w:t>
      </w:r>
      <w:r>
        <w:rPr>
          <w:spacing w:val="-7"/>
          <w:sz w:val="32"/>
          <w:szCs w:val="32"/>
        </w:rPr>
        <w:t>应用无人超市、智能便利店、</w:t>
      </w:r>
      <w:r>
        <w:rPr>
          <w:sz w:val="32"/>
          <w:szCs w:val="32"/>
        </w:rPr>
        <w:t>自助售货机等新零售模式，丰富产品种类，方便日常消费，注重消费体验。着力发展社交电子商务、近场零售等新业态新模式，合理布局实体商业资源，应用全链条、全渠道的智能营销方式。</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12" w:firstLine="659" w:firstLineChars="200"/>
        <w:jc w:val="both"/>
        <w:textAlignment w:val="auto"/>
        <w:rPr>
          <w:color w:val="000000" w:themeColor="text1"/>
          <w:sz w:val="32"/>
          <w:szCs w:val="32"/>
          <w14:textFill>
            <w14:solidFill>
              <w14:schemeClr w14:val="tx1"/>
            </w14:solidFill>
          </w14:textFill>
        </w:rPr>
      </w:pPr>
      <w:r>
        <w:rPr>
          <w:b/>
          <w:color w:val="000000" w:themeColor="text1"/>
          <w:spacing w:val="4"/>
          <w:sz w:val="32"/>
          <w:szCs w:val="32"/>
          <w14:textFill>
            <w14:solidFill>
              <w14:schemeClr w14:val="tx1"/>
            </w14:solidFill>
          </w14:textFill>
        </w:rPr>
        <w:t>发展情景丰富的体验经济。</w:t>
      </w:r>
      <w:r>
        <w:rPr>
          <w:color w:val="000000" w:themeColor="text1"/>
          <w:sz w:val="32"/>
          <w:szCs w:val="32"/>
          <w14:textFill>
            <w14:solidFill>
              <w14:schemeClr w14:val="tx1"/>
            </w14:solidFill>
          </w14:textFill>
        </w:rPr>
        <w:t xml:space="preserve">发展以情景化、参与化、社交化和智能化为特征的新型体验经济，增加消费过程中的感官体验， </w:t>
      </w:r>
      <w:r>
        <w:rPr>
          <w:color w:val="000000" w:themeColor="text1"/>
          <w:spacing w:val="-1"/>
          <w:sz w:val="32"/>
          <w:szCs w:val="32"/>
          <w14:textFill>
            <w14:solidFill>
              <w14:schemeClr w14:val="tx1"/>
            </w14:solidFill>
          </w14:textFill>
        </w:rPr>
        <w:t xml:space="preserve">提升对产品的认同感。利用虚拟现实等新技术，发展 </w:t>
      </w:r>
      <w:r>
        <w:rPr>
          <w:rFonts w:ascii="Times New Roman" w:eastAsia="Times New Roman"/>
          <w:color w:val="000000" w:themeColor="text1"/>
          <w:sz w:val="32"/>
          <w:szCs w:val="32"/>
          <w14:textFill>
            <w14:solidFill>
              <w14:schemeClr w14:val="tx1"/>
            </w14:solidFill>
          </w14:textFill>
        </w:rPr>
        <w:t>VR</w:t>
      </w:r>
      <w:r>
        <w:rPr>
          <w:rFonts w:ascii="Times New Roman" w:eastAsia="Times New Roman"/>
          <w:color w:val="000000" w:themeColor="text1"/>
          <w:spacing w:val="67"/>
          <w:sz w:val="32"/>
          <w:szCs w:val="32"/>
          <w14:textFill>
            <w14:solidFill>
              <w14:schemeClr w14:val="tx1"/>
            </w14:solidFill>
          </w14:textFill>
        </w:rPr>
        <w:t xml:space="preserve"> </w:t>
      </w:r>
      <w:r>
        <w:rPr>
          <w:color w:val="000000" w:themeColor="text1"/>
          <w:sz w:val="32"/>
          <w:szCs w:val="32"/>
          <w14:textFill>
            <w14:solidFill>
              <w14:schemeClr w14:val="tx1"/>
            </w14:solidFill>
          </w14:textFill>
        </w:rPr>
        <w:t>购物、</w:t>
      </w:r>
      <w:r>
        <w:rPr>
          <w:rFonts w:ascii="Times New Roman" w:eastAsia="Times New Roman"/>
          <w:color w:val="000000" w:themeColor="text1"/>
          <w:sz w:val="32"/>
          <w:szCs w:val="32"/>
          <w14:textFill>
            <w14:solidFill>
              <w14:schemeClr w14:val="tx1"/>
            </w14:solidFill>
          </w14:textFill>
        </w:rPr>
        <w:t xml:space="preserve">VR </w:t>
      </w:r>
      <w:r>
        <w:rPr>
          <w:color w:val="000000" w:themeColor="text1"/>
          <w:sz w:val="32"/>
          <w:szCs w:val="32"/>
          <w14:textFill>
            <w14:solidFill>
              <w14:schemeClr w14:val="tx1"/>
            </w14:solidFill>
          </w14:textFill>
        </w:rPr>
        <w:t>游戏、</w:t>
      </w:r>
      <w:r>
        <w:rPr>
          <w:rFonts w:ascii="Times New Roman" w:eastAsia="Times New Roman"/>
          <w:color w:val="000000" w:themeColor="text1"/>
          <w:sz w:val="32"/>
          <w:szCs w:val="32"/>
          <w14:textFill>
            <w14:solidFill>
              <w14:schemeClr w14:val="tx1"/>
            </w14:solidFill>
          </w14:textFill>
        </w:rPr>
        <w:t xml:space="preserve">VR </w:t>
      </w:r>
      <w:r>
        <w:rPr>
          <w:color w:val="000000" w:themeColor="text1"/>
          <w:sz w:val="32"/>
          <w:szCs w:val="32"/>
          <w14:textFill>
            <w14:solidFill>
              <w14:schemeClr w14:val="tx1"/>
            </w14:solidFill>
          </w14:textFill>
        </w:rPr>
        <w:t>剧场等新型感官式体验经济。培育参与式影视、沉浸式微博物馆、主题餐厅等情景式体验经济，满足多层次文化娱乐体验需求。</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08" w:firstLine="643" w:firstLineChars="200"/>
        <w:jc w:val="both"/>
        <w:textAlignment w:val="auto"/>
        <w:rPr>
          <w:sz w:val="32"/>
          <w:szCs w:val="32"/>
        </w:rPr>
      </w:pPr>
      <w:r>
        <w:rPr>
          <w:b/>
          <w:sz w:val="32"/>
          <w:szCs w:val="32"/>
        </w:rPr>
        <w:t>发展个性化特色化的街区经济。</w:t>
      </w:r>
      <w:r>
        <w:rPr>
          <w:sz w:val="32"/>
          <w:szCs w:val="32"/>
        </w:rPr>
        <w:t>结合</w:t>
      </w:r>
      <w:r>
        <w:rPr>
          <w:rFonts w:hint="eastAsia"/>
          <w:sz w:val="32"/>
          <w:szCs w:val="32"/>
          <w:lang w:val="en-US" w:eastAsia="zh-CN"/>
        </w:rPr>
        <w:t>泉·城特色历史文化街区</w:t>
      </w:r>
      <w:r>
        <w:rPr>
          <w:sz w:val="32"/>
          <w:szCs w:val="32"/>
        </w:rPr>
        <w:t>建设，适当布局开放式、小尺度、特色鲜明的活力商业街区。商业街在筹备与规划阶段，先行对商业业态，特别是引入的商家类型进行规划。在商业街筹备初期，基于商家类型有针对性地开展招商引资，将商铺建设与业主发展需求紧密结合起来。引入商家确定后，在遵循特色商业街整体沿街立面风貌设计的前提下，根据各商家的产品或服务，</w:t>
      </w:r>
      <w:r>
        <w:rPr>
          <w:rFonts w:hint="eastAsia"/>
          <w:sz w:val="32"/>
          <w:szCs w:val="32"/>
          <w:lang w:val="en-US" w:eastAsia="zh-CN"/>
        </w:rPr>
        <w:t>在</w:t>
      </w:r>
      <w:r>
        <w:rPr>
          <w:sz w:val="32"/>
          <w:szCs w:val="32"/>
        </w:rPr>
        <w:t>商店立面的设计工作中突出商家的个性和特色，营造个性化和主题化商业发展环境。</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66" w:firstLine="659" w:firstLineChars="200"/>
        <w:textAlignment w:val="auto"/>
      </w:pPr>
      <w:r>
        <w:rPr>
          <w:b/>
          <w:spacing w:val="4"/>
          <w:sz w:val="32"/>
          <w:szCs w:val="32"/>
        </w:rPr>
        <w:t>发展全时段活跃的夜间经济。</w:t>
      </w:r>
      <w:r>
        <w:rPr>
          <w:sz w:val="32"/>
          <w:szCs w:val="32"/>
        </w:rPr>
        <w:t>保证市民享受全时段的高品质生活服务，增强</w:t>
      </w:r>
      <w:r>
        <w:rPr>
          <w:rFonts w:hint="eastAsia"/>
          <w:sz w:val="32"/>
          <w:szCs w:val="32"/>
          <w:lang w:val="en-US" w:eastAsia="zh-CN"/>
        </w:rPr>
        <w:t>济南古城（明府城片区）</w:t>
      </w:r>
      <w:r>
        <w:rPr>
          <w:sz w:val="32"/>
          <w:szCs w:val="32"/>
        </w:rPr>
        <w:t>吸引力。积极引进培育沉浸式话剧、音乐剧、歌舞剧等夜间文化艺术项目，培育深夜影院、深夜书吧、音乐俱乐部、驻场秀等夜间文化娱乐业态。</w:t>
      </w:r>
      <w:r>
        <w:rPr>
          <w:spacing w:val="-1"/>
          <w:sz w:val="32"/>
          <w:szCs w:val="32"/>
        </w:rPr>
        <w:t>在</w:t>
      </w:r>
      <w:r>
        <w:rPr>
          <w:rFonts w:hint="eastAsia"/>
          <w:spacing w:val="-1"/>
          <w:sz w:val="32"/>
          <w:szCs w:val="32"/>
          <w:lang w:val="en-US" w:eastAsia="zh-CN"/>
        </w:rPr>
        <w:t>芙蓉街</w:t>
      </w:r>
      <w:r>
        <w:rPr>
          <w:spacing w:val="-1"/>
          <w:sz w:val="32"/>
          <w:szCs w:val="32"/>
        </w:rPr>
        <w:t>街、</w:t>
      </w:r>
      <w:r>
        <w:rPr>
          <w:rFonts w:hint="eastAsia"/>
          <w:spacing w:val="-1"/>
          <w:sz w:val="32"/>
          <w:szCs w:val="32"/>
          <w:lang w:val="en-US" w:eastAsia="zh-CN"/>
        </w:rPr>
        <w:t>泉城路</w:t>
      </w:r>
      <w:r>
        <w:rPr>
          <w:spacing w:val="-1"/>
          <w:sz w:val="32"/>
          <w:szCs w:val="32"/>
        </w:rPr>
        <w:t>开展</w:t>
      </w:r>
      <w:r>
        <w:rPr>
          <w:rFonts w:ascii="Times New Roman" w:hAnsi="Times New Roman" w:eastAsia="Times New Roman"/>
          <w:sz w:val="32"/>
          <w:szCs w:val="32"/>
        </w:rPr>
        <w:t>“</w:t>
      </w:r>
      <w:r>
        <w:rPr>
          <w:sz w:val="32"/>
          <w:szCs w:val="32"/>
        </w:rPr>
        <w:t>外摆位</w:t>
      </w:r>
      <w:r>
        <w:rPr>
          <w:rFonts w:ascii="Times New Roman" w:hAnsi="Times New Roman" w:eastAsia="Times New Roman"/>
          <w:sz w:val="32"/>
          <w:szCs w:val="32"/>
        </w:rPr>
        <w:t>”</w:t>
      </w:r>
      <w:r>
        <w:rPr>
          <w:sz w:val="32"/>
          <w:szCs w:val="32"/>
        </w:rPr>
        <w:t>试点，</w:t>
      </w:r>
      <w:r>
        <w:rPr>
          <w:spacing w:val="-5"/>
          <w:sz w:val="32"/>
          <w:szCs w:val="32"/>
        </w:rPr>
        <w:t>打造放心安全、特色鲜明的</w:t>
      </w:r>
      <w:r>
        <w:rPr>
          <w:rFonts w:ascii="Times New Roman" w:hAnsi="Times New Roman" w:eastAsia="Times New Roman"/>
          <w:sz w:val="32"/>
          <w:szCs w:val="32"/>
        </w:rPr>
        <w:t>“</w:t>
      </w:r>
      <w:r>
        <w:rPr>
          <w:sz w:val="32"/>
          <w:szCs w:val="32"/>
        </w:rPr>
        <w:t>深夜食堂</w:t>
      </w:r>
      <w:r>
        <w:rPr>
          <w:rFonts w:ascii="Times New Roman" w:hAnsi="Times New Roman" w:eastAsia="Times New Roman"/>
          <w:sz w:val="32"/>
          <w:szCs w:val="32"/>
        </w:rPr>
        <w:t>”</w:t>
      </w:r>
      <w:r>
        <w:rPr>
          <w:spacing w:val="-17"/>
          <w:sz w:val="32"/>
          <w:szCs w:val="32"/>
        </w:rPr>
        <w:t>。突出</w:t>
      </w:r>
      <w:r>
        <w:rPr>
          <w:rFonts w:hint="eastAsia"/>
          <w:spacing w:val="-17"/>
          <w:sz w:val="32"/>
          <w:szCs w:val="32"/>
          <w:lang w:val="en-US" w:eastAsia="zh-CN"/>
        </w:rPr>
        <w:t>泉·城共生</w:t>
      </w:r>
      <w:r>
        <w:rPr>
          <w:sz w:val="32"/>
          <w:szCs w:val="32"/>
        </w:rPr>
        <w:t>空间要素，开展夜间灯光造景，做好街景打造、装饰照明、标识指引等工作，营造夜间消费氛围。</w:t>
      </w:r>
    </w:p>
    <w:p>
      <w:pPr>
        <w:spacing w:after="0"/>
        <w:rPr>
          <w:sz w:val="21"/>
        </w:rPr>
        <w:sectPr>
          <w:pgSz w:w="11910" w:h="16840"/>
          <w:pgMar w:top="1360" w:right="1180" w:bottom="1380" w:left="1520" w:header="0" w:footer="1116" w:gutter="0"/>
          <w:cols w:space="720" w:num="1"/>
        </w:sectPr>
      </w:pPr>
    </w:p>
    <w:p>
      <w:pPr>
        <w:pStyle w:val="3"/>
        <w:spacing w:before="70"/>
      </w:pPr>
      <w:bookmarkStart w:id="18" w:name="_bookmark19"/>
      <w:bookmarkEnd w:id="18"/>
      <w:bookmarkStart w:id="19" w:name="_Toc3034"/>
      <w:r>
        <w:t>第</w:t>
      </w:r>
      <w:r>
        <w:rPr>
          <w:rFonts w:hint="eastAsia"/>
          <w:lang w:val="en-US" w:eastAsia="zh-CN"/>
        </w:rPr>
        <w:t>五</w:t>
      </w:r>
      <w:r>
        <w:t>章 塑造</w:t>
      </w:r>
      <w:r>
        <w:rPr>
          <w:rFonts w:hint="eastAsia"/>
          <w:lang w:val="en-US" w:eastAsia="zh-CN"/>
        </w:rPr>
        <w:t>文化街区</w:t>
      </w:r>
      <w:r>
        <w:t>生活场景</w:t>
      </w:r>
      <w:bookmarkEnd w:id="19"/>
    </w:p>
    <w:p>
      <w:pPr>
        <w:pStyle w:val="6"/>
        <w:spacing w:before="11"/>
        <w:rPr>
          <w:rFonts w:ascii="微软雅黑"/>
          <w:b/>
          <w:sz w:val="38"/>
        </w:rPr>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618" w:firstLine="608" w:firstLineChars="200"/>
        <w:jc w:val="both"/>
        <w:textAlignment w:val="auto"/>
      </w:pPr>
      <w:r>
        <w:rPr>
          <w:spacing w:val="-8"/>
          <w:sz w:val="32"/>
          <w:szCs w:val="32"/>
        </w:rPr>
        <w:t>面向居民需求，以智慧城市建设为引领，</w:t>
      </w:r>
      <w:r>
        <w:rPr>
          <w:rFonts w:hint="eastAsia"/>
          <w:spacing w:val="-8"/>
          <w:sz w:val="32"/>
          <w:szCs w:val="32"/>
          <w:lang w:val="en-US" w:eastAsia="zh-CN"/>
        </w:rPr>
        <w:t>以泉水保护、非物质文化遗产传承为原则，</w:t>
      </w:r>
      <w:r>
        <w:rPr>
          <w:spacing w:val="-8"/>
          <w:sz w:val="32"/>
          <w:szCs w:val="32"/>
        </w:rPr>
        <w:t>加强新型基础设施和公共服务设施建设，打造一座</w:t>
      </w:r>
      <w:r>
        <w:rPr>
          <w:sz w:val="32"/>
          <w:szCs w:val="32"/>
        </w:rPr>
        <w:t>宜居、宜业、宜行、宜乐、宜游</w:t>
      </w:r>
      <w:r>
        <w:rPr>
          <w:rFonts w:hint="eastAsia"/>
          <w:sz w:val="32"/>
          <w:szCs w:val="32"/>
          <w:lang w:val="en-US" w:eastAsia="zh-CN"/>
        </w:rPr>
        <w:t>的文化</w:t>
      </w:r>
      <w:r>
        <w:rPr>
          <w:sz w:val="32"/>
          <w:szCs w:val="32"/>
        </w:rPr>
        <w:t>之城。</w:t>
      </w:r>
    </w:p>
    <w:p>
      <w:pPr>
        <w:pStyle w:val="4"/>
        <w:numPr>
          <w:ilvl w:val="0"/>
          <w:numId w:val="6"/>
        </w:numPr>
        <w:tabs>
          <w:tab w:val="left" w:pos="1279"/>
        </w:tabs>
        <w:spacing w:line="491" w:lineRule="exact"/>
        <w:ind w:left="0" w:leftChars="0" w:firstLine="0" w:firstLineChars="0"/>
        <w:rPr>
          <w:rFonts w:ascii="微软雅黑"/>
          <w:b/>
          <w:sz w:val="32"/>
          <w:szCs w:val="32"/>
        </w:rPr>
      </w:pPr>
      <w:bookmarkStart w:id="20" w:name="_bookmark20"/>
      <w:bookmarkEnd w:id="20"/>
      <w:bookmarkStart w:id="21" w:name="_Toc30799"/>
      <w:r>
        <w:t>建设全方位智慧</w:t>
      </w:r>
      <w:r>
        <w:rPr>
          <w:rFonts w:hint="eastAsia"/>
          <w:lang w:val="en-US" w:eastAsia="zh-CN"/>
        </w:rPr>
        <w:t>街区</w:t>
      </w:r>
      <w:bookmarkEnd w:id="21"/>
    </w:p>
    <w:p>
      <w:pPr>
        <w:rPr>
          <w:sz w:val="32"/>
          <w:szCs w:val="3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616" w:firstLine="640" w:firstLineChars="200"/>
        <w:jc w:val="both"/>
        <w:textAlignment w:val="auto"/>
        <w:rPr>
          <w:sz w:val="32"/>
          <w:szCs w:val="32"/>
        </w:rPr>
      </w:pPr>
      <w:r>
        <w:rPr>
          <w:sz w:val="32"/>
          <w:szCs w:val="32"/>
        </w:rPr>
        <w:t>做好智慧城市建设顶</w:t>
      </w:r>
      <w:r>
        <w:rPr>
          <w:spacing w:val="-11"/>
          <w:sz w:val="32"/>
          <w:szCs w:val="32"/>
        </w:rPr>
        <w:t>层设计，适度超前布局智能基础设施，推动全域智能化应用服务</w:t>
      </w:r>
      <w:r>
        <w:rPr>
          <w:spacing w:val="-10"/>
          <w:sz w:val="32"/>
          <w:szCs w:val="32"/>
        </w:rPr>
        <w:t>实时可控，打造具有深度学习能力、高效便捷的数字城市，实现</w:t>
      </w:r>
      <w:r>
        <w:rPr>
          <w:sz w:val="32"/>
          <w:szCs w:val="32"/>
        </w:rPr>
        <w:t>数据驱动的城市运营。</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22" w:firstLine="623" w:firstLineChars="200"/>
        <w:textAlignment w:val="auto"/>
        <w:rPr>
          <w:sz w:val="32"/>
          <w:szCs w:val="32"/>
        </w:rPr>
      </w:pPr>
      <w:r>
        <w:rPr>
          <w:b/>
          <w:spacing w:val="-5"/>
          <w:sz w:val="32"/>
          <w:szCs w:val="32"/>
        </w:rPr>
        <w:t>率先建设智能基础设施。</w:t>
      </w:r>
      <w:r>
        <w:rPr>
          <w:spacing w:val="-5"/>
          <w:sz w:val="32"/>
          <w:szCs w:val="32"/>
        </w:rPr>
        <w:t>打造多网协同的泛在无线网络，构</w:t>
      </w:r>
      <w:r>
        <w:rPr>
          <w:spacing w:val="-10"/>
          <w:sz w:val="32"/>
          <w:szCs w:val="32"/>
        </w:rPr>
        <w:t>建完善的全域骨干网和统一的智能城市专网。与城市基础设施同</w:t>
      </w:r>
      <w:r>
        <w:rPr>
          <w:spacing w:val="-14"/>
          <w:sz w:val="32"/>
          <w:szCs w:val="32"/>
        </w:rPr>
        <w:t>步建设感知设施系统，打造全覆盖的数字化标识体系，构建城市</w:t>
      </w:r>
      <w:r>
        <w:rPr>
          <w:spacing w:val="-15"/>
          <w:sz w:val="32"/>
          <w:szCs w:val="32"/>
        </w:rPr>
        <w:t>物联网统一开放平台，实现感知设备统一接入、集中管理、远程调控和数据共享、发布。</w:t>
      </w:r>
      <w:r>
        <w:rPr>
          <w:spacing w:val="-12"/>
          <w:sz w:val="32"/>
          <w:szCs w:val="32"/>
        </w:rPr>
        <w:t>搭建云计算、边缘计算等多元</w:t>
      </w:r>
      <w:r>
        <w:rPr>
          <w:spacing w:val="-13"/>
          <w:sz w:val="32"/>
          <w:szCs w:val="32"/>
        </w:rPr>
        <w:t>普惠计算设施，实现城市数据交换和城市智能决策的快速响应。</w:t>
      </w:r>
      <w:r>
        <w:rPr>
          <w:spacing w:val="-7"/>
          <w:sz w:val="32"/>
          <w:szCs w:val="32"/>
        </w:rPr>
        <w:t>通过对城市全局数据的汇集、存储和分析，建立数据驱动的城市运营决策机制，推动公共资源智能化配置。</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firstLine="623" w:firstLineChars="200"/>
        <w:jc w:val="left"/>
        <w:textAlignment w:val="auto"/>
        <w:rPr>
          <w:rFonts w:ascii="仿宋_GB2312" w:hAnsi="仿宋_GB2312" w:eastAsia="仿宋_GB2312" w:cs="仿宋_GB2312"/>
          <w:spacing w:val="-12"/>
          <w:sz w:val="32"/>
          <w:szCs w:val="32"/>
          <w:lang w:val="zh-CN" w:eastAsia="zh-CN" w:bidi="zh-CN"/>
        </w:rPr>
      </w:pPr>
      <w:r>
        <w:rPr>
          <w:rFonts w:ascii="仿宋_GB2312" w:hAnsi="仿宋_GB2312" w:eastAsia="仿宋_GB2312" w:cs="仿宋_GB2312"/>
          <w:b/>
          <w:spacing w:val="-5"/>
          <w:sz w:val="32"/>
          <w:szCs w:val="32"/>
          <w:lang w:val="zh-CN" w:eastAsia="zh-CN" w:bidi="zh-CN"/>
        </w:rPr>
        <w:t>建设智慧城市应用场景</w:t>
      </w:r>
      <w:r>
        <w:rPr>
          <w:b/>
          <w:spacing w:val="-5"/>
          <w:w w:val="95"/>
          <w:sz w:val="32"/>
          <w:szCs w:val="32"/>
        </w:rPr>
        <w:t>。</w:t>
      </w:r>
      <w:r>
        <w:rPr>
          <w:rFonts w:ascii="仿宋_GB2312" w:hAnsi="仿宋_GB2312" w:eastAsia="仿宋_GB2312" w:cs="仿宋_GB2312"/>
          <w:spacing w:val="-12"/>
          <w:sz w:val="32"/>
          <w:szCs w:val="32"/>
          <w:lang w:val="zh-CN" w:eastAsia="zh-CN" w:bidi="zh-CN"/>
        </w:rPr>
        <w:t>推进数字化、智能化的城市规划和</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336"/>
        <w:jc w:val="center"/>
        <w:textAlignment w:val="auto"/>
        <w:rPr>
          <w:sz w:val="32"/>
          <w:szCs w:val="32"/>
        </w:rPr>
        <w:sectPr>
          <w:pgSz w:w="11910" w:h="16840"/>
          <w:pgMar w:top="1580" w:right="1180" w:bottom="1400" w:left="1520" w:header="0" w:footer="1116" w:gutter="0"/>
          <w:cols w:space="720" w:num="1"/>
        </w:sectPr>
      </w:pPr>
      <w:r>
        <w:rPr>
          <w:spacing w:val="-2"/>
          <w:sz w:val="32"/>
          <w:szCs w:val="32"/>
        </w:rPr>
        <w:t xml:space="preserve">建设，充分应用 </w:t>
      </w:r>
      <w:r>
        <w:rPr>
          <w:rFonts w:ascii="Times New Roman" w:eastAsia="Times New Roman"/>
          <w:sz w:val="32"/>
          <w:szCs w:val="32"/>
        </w:rPr>
        <w:t>BIM</w:t>
      </w:r>
      <w:r>
        <w:rPr>
          <w:sz w:val="32"/>
          <w:szCs w:val="32"/>
        </w:rPr>
        <w:t>、</w:t>
      </w:r>
      <w:r>
        <w:rPr>
          <w:rFonts w:ascii="Times New Roman" w:eastAsia="Times New Roman"/>
          <w:sz w:val="32"/>
          <w:szCs w:val="32"/>
        </w:rPr>
        <w:t>CIM</w:t>
      </w:r>
      <w:r>
        <w:rPr>
          <w:rFonts w:ascii="Times New Roman" w:eastAsia="Times New Roman"/>
          <w:spacing w:val="60"/>
          <w:sz w:val="32"/>
          <w:szCs w:val="32"/>
        </w:rPr>
        <w:t xml:space="preserve"> </w:t>
      </w:r>
      <w:r>
        <w:rPr>
          <w:sz w:val="32"/>
          <w:szCs w:val="32"/>
        </w:rPr>
        <w:t>等技术手段，建设城市数字底版。</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24"/>
        <w:jc w:val="both"/>
        <w:textAlignment w:val="auto"/>
      </w:pPr>
      <w:r>
        <w:rPr>
          <w:spacing w:val="-1"/>
          <w:sz w:val="32"/>
          <w:szCs w:val="32"/>
        </w:rPr>
        <w:t>构建城市智能治理体系，建设全程在线、高效便捷，精准监测、</w:t>
      </w:r>
      <w:r>
        <w:rPr>
          <w:spacing w:val="-9"/>
          <w:sz w:val="32"/>
          <w:szCs w:val="32"/>
        </w:rPr>
        <w:t>高效处置，主动发现、智能处置的智能政务、智能环保、数字城</w:t>
      </w:r>
      <w:r>
        <w:rPr>
          <w:spacing w:val="-11"/>
          <w:sz w:val="32"/>
          <w:szCs w:val="32"/>
        </w:rPr>
        <w:t>管。健全城市智能民生服务，搭建普惠精准、定制服务的智能教</w:t>
      </w:r>
      <w:r>
        <w:rPr>
          <w:spacing w:val="-13"/>
          <w:sz w:val="32"/>
          <w:szCs w:val="32"/>
        </w:rPr>
        <w:t>育医疗系统，打造以人为本、全时空服务的智能社区。</w:t>
      </w:r>
      <w:r>
        <w:rPr>
          <w:sz w:val="32"/>
          <w:szCs w:val="32"/>
        </w:rPr>
        <w:t>提供商务、办公、运营等智能</w:t>
      </w:r>
      <w:r>
        <w:rPr>
          <w:spacing w:val="-10"/>
          <w:sz w:val="32"/>
          <w:szCs w:val="32"/>
        </w:rPr>
        <w:t>化设施和服务，着力提升</w:t>
      </w:r>
      <w:r>
        <w:rPr>
          <w:rFonts w:hint="eastAsia"/>
          <w:spacing w:val="-10"/>
          <w:sz w:val="32"/>
          <w:szCs w:val="32"/>
          <w:lang w:val="en-US" w:eastAsia="zh-CN"/>
        </w:rPr>
        <w:t>历史文化街区</w:t>
      </w:r>
      <w:r>
        <w:rPr>
          <w:spacing w:val="-10"/>
          <w:sz w:val="32"/>
          <w:szCs w:val="32"/>
        </w:rPr>
        <w:t>能源和安防等领域的智能化水平，打造国际一流的智慧化</w:t>
      </w:r>
      <w:r>
        <w:rPr>
          <w:rFonts w:hint="eastAsia"/>
          <w:spacing w:val="-10"/>
          <w:sz w:val="32"/>
          <w:szCs w:val="32"/>
          <w:lang w:val="en-US" w:eastAsia="zh-CN"/>
        </w:rPr>
        <w:t>生活</w:t>
      </w:r>
      <w:r>
        <w:rPr>
          <w:spacing w:val="-10"/>
          <w:sz w:val="32"/>
          <w:szCs w:val="32"/>
        </w:rPr>
        <w:t>环境。</w:t>
      </w:r>
    </w:p>
    <w:p>
      <w:pPr>
        <w:pStyle w:val="6"/>
      </w:pPr>
    </w:p>
    <w:p>
      <w:pPr>
        <w:pStyle w:val="4"/>
        <w:numPr>
          <w:ilvl w:val="0"/>
          <w:numId w:val="6"/>
        </w:numPr>
        <w:tabs>
          <w:tab w:val="left" w:pos="1279"/>
        </w:tabs>
        <w:spacing w:before="203"/>
        <w:ind w:left="0" w:leftChars="0" w:firstLine="0" w:firstLineChars="0"/>
      </w:pPr>
      <w:bookmarkStart w:id="22" w:name="_bookmark21"/>
      <w:bookmarkEnd w:id="22"/>
      <w:bookmarkStart w:id="23" w:name="_Toc6998"/>
      <w:r>
        <w:t>营造高品质人居环境</w:t>
      </w:r>
      <w:bookmarkEnd w:id="23"/>
    </w:p>
    <w:p>
      <w:pPr>
        <w:numPr>
          <w:ilvl w:val="0"/>
          <w:numId w:val="0"/>
        </w:numPr>
        <w:ind w:leftChars="0" w:right="0" w:rightChars="0"/>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22" w:firstLine="636" w:firstLineChars="200"/>
        <w:textAlignment w:val="auto"/>
        <w:rPr>
          <w:rFonts w:hint="eastAsia" w:eastAsia="仿宋_GB2312"/>
          <w:sz w:val="32"/>
          <w:szCs w:val="32"/>
          <w:lang w:eastAsia="zh-CN"/>
        </w:rPr>
      </w:pPr>
      <w:r>
        <w:rPr>
          <w:spacing w:val="-1"/>
          <w:sz w:val="32"/>
          <w:szCs w:val="32"/>
        </w:rPr>
        <w:t xml:space="preserve">坚持以人为本、绿色发展的理念，充分挖掘区域资源潜力， </w:t>
      </w:r>
      <w:r>
        <w:rPr>
          <w:spacing w:val="-6"/>
          <w:sz w:val="32"/>
          <w:szCs w:val="32"/>
        </w:rPr>
        <w:t>加强基础设施的互联互通，不断完善公共服务设施配套建设</w:t>
      </w:r>
      <w:r>
        <w:rPr>
          <w:rFonts w:hint="eastAsia"/>
          <w:spacing w:val="-6"/>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right="613" w:firstLine="631" w:firstLineChars="200"/>
        <w:jc w:val="left"/>
        <w:textAlignment w:val="auto"/>
        <w:rPr>
          <w:rFonts w:hint="eastAsia"/>
          <w:sz w:val="32"/>
          <w:szCs w:val="32"/>
          <w:lang w:eastAsia="zh-CN"/>
        </w:rPr>
      </w:pPr>
      <w:r>
        <w:rPr>
          <w:b/>
          <w:spacing w:val="-3"/>
          <w:sz w:val="32"/>
          <w:szCs w:val="32"/>
        </w:rPr>
        <w:t>打造高效便捷的交通体系。</w:t>
      </w:r>
      <w:r>
        <w:rPr>
          <w:rFonts w:hint="eastAsia"/>
          <w:sz w:val="32"/>
          <w:szCs w:val="32"/>
        </w:rPr>
        <w:t>逐步实现规划区域社会车辆禁行</w:t>
      </w:r>
      <w:r>
        <w:rPr>
          <w:rFonts w:hint="eastAsia"/>
          <w:sz w:val="32"/>
          <w:szCs w:val="32"/>
          <w:lang w:eastAsia="zh-CN"/>
        </w:rPr>
        <w:t>。</w:t>
      </w:r>
      <w:r>
        <w:rPr>
          <w:rFonts w:hint="eastAsia"/>
          <w:sz w:val="32"/>
          <w:szCs w:val="32"/>
        </w:rPr>
        <w:t>引导外围车辆绕行，并在外围设置协调区</w:t>
      </w:r>
      <w:r>
        <w:rPr>
          <w:rFonts w:hint="eastAsia"/>
          <w:sz w:val="32"/>
          <w:szCs w:val="32"/>
          <w:lang w:eastAsia="zh-CN"/>
        </w:rPr>
        <w:t>。</w:t>
      </w:r>
      <w:r>
        <w:rPr>
          <w:rFonts w:hint="eastAsia"/>
          <w:sz w:val="32"/>
          <w:szCs w:val="32"/>
        </w:rPr>
        <w:t>环路+停车换乘停车模式，促进禁行区内外交通转换</w:t>
      </w:r>
      <w:r>
        <w:rPr>
          <w:rFonts w:hint="eastAsia"/>
          <w:sz w:val="32"/>
          <w:szCs w:val="32"/>
          <w:lang w:eastAsia="zh-CN"/>
        </w:rPr>
        <w:t>。</w:t>
      </w:r>
      <w:r>
        <w:rPr>
          <w:rFonts w:hint="eastAsia"/>
          <w:sz w:val="32"/>
          <w:szCs w:val="32"/>
        </w:rPr>
        <w:t>协调区利用绿地、</w:t>
      </w:r>
      <w:r>
        <w:rPr>
          <w:rFonts w:hint="eastAsia"/>
          <w:sz w:val="32"/>
          <w:szCs w:val="32"/>
          <w:lang w:val="en-US" w:eastAsia="zh-CN"/>
        </w:rPr>
        <w:t>广</w:t>
      </w:r>
      <w:r>
        <w:rPr>
          <w:rFonts w:hint="eastAsia"/>
          <w:sz w:val="32"/>
          <w:szCs w:val="32"/>
        </w:rPr>
        <w:t>场、高架下方，</w:t>
      </w:r>
      <w:r>
        <w:rPr>
          <w:rFonts w:hint="eastAsia"/>
          <w:sz w:val="32"/>
          <w:szCs w:val="32"/>
          <w:lang w:eastAsia="zh-CN"/>
        </w:rPr>
        <w:t>其他</w:t>
      </w:r>
      <w:r>
        <w:rPr>
          <w:rFonts w:hint="eastAsia"/>
          <w:sz w:val="32"/>
          <w:szCs w:val="32"/>
        </w:rPr>
        <w:t>边角地块设置停车设施</w:t>
      </w:r>
      <w:r>
        <w:rPr>
          <w:rFonts w:hint="eastAsia"/>
          <w:sz w:val="32"/>
          <w:szCs w:val="32"/>
          <w:lang w:eastAsia="zh-CN"/>
        </w:rPr>
        <w:t>。</w:t>
      </w:r>
      <w:r>
        <w:rPr>
          <w:rFonts w:hint="eastAsia"/>
          <w:sz w:val="32"/>
          <w:szCs w:val="32"/>
        </w:rPr>
        <w:t>外围结合城市更新、旧改、拆迁、地铁建设等的征拆建设停车设施</w:t>
      </w:r>
      <w:r>
        <w:rPr>
          <w:rFonts w:hint="eastAsia"/>
          <w:sz w:val="32"/>
          <w:szCs w:val="32"/>
          <w:lang w:eastAsia="zh-CN"/>
        </w:rPr>
        <w:t>。不再增加机动车供给，并逐步将现有停车场转变为非机动车停放空间。倡导慢行旅游环境，根据大数据增设自行车、电动车停放站点。</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616" w:firstLine="603" w:firstLineChars="200"/>
        <w:jc w:val="both"/>
        <w:textAlignment w:val="auto"/>
        <w:rPr>
          <w:rFonts w:hint="eastAsia" w:ascii="宋体" w:eastAsia="宋体"/>
          <w:sz w:val="32"/>
          <w:szCs w:val="32"/>
        </w:rPr>
      </w:pPr>
      <w:r>
        <w:rPr>
          <w:b/>
          <w:spacing w:val="-10"/>
          <w:sz w:val="32"/>
          <w:szCs w:val="32"/>
        </w:rPr>
        <w:t>构建社区、邻里、街坊三级生活圈。</w:t>
      </w:r>
      <w:r>
        <w:rPr>
          <w:rFonts w:hint="eastAsia"/>
          <w:spacing w:val="-11"/>
          <w:sz w:val="32"/>
          <w:szCs w:val="32"/>
        </w:rPr>
        <w:t>结合邻里单元原则，划定约5000平米范围，5-10个院子为一个单元，配置公服和公共空间</w:t>
      </w:r>
      <w:r>
        <w:rPr>
          <w:rFonts w:hint="eastAsia"/>
          <w:spacing w:val="-11"/>
          <w:sz w:val="32"/>
          <w:szCs w:val="32"/>
          <w:lang w:eastAsia="zh-CN"/>
        </w:rPr>
        <w:t>。</w:t>
      </w:r>
      <w:r>
        <w:rPr>
          <w:spacing w:val="-5"/>
          <w:sz w:val="32"/>
          <w:szCs w:val="32"/>
        </w:rPr>
        <w:t>社区中心</w:t>
      </w:r>
      <w:r>
        <w:rPr>
          <w:rFonts w:hint="eastAsia"/>
          <w:spacing w:val="-5"/>
          <w:sz w:val="32"/>
          <w:szCs w:val="32"/>
          <w:lang w:val="en-US" w:eastAsia="zh-CN"/>
        </w:rPr>
        <w:t>配置</w:t>
      </w:r>
      <w:r>
        <w:rPr>
          <w:spacing w:val="-5"/>
          <w:sz w:val="32"/>
          <w:szCs w:val="32"/>
        </w:rPr>
        <w:t>医</w:t>
      </w:r>
      <w:r>
        <w:rPr>
          <w:spacing w:val="-11"/>
          <w:sz w:val="32"/>
          <w:szCs w:val="32"/>
        </w:rPr>
        <w:t>疗服务机构、文化活动中心、社区服务中心、专项运动场地等设</w:t>
      </w:r>
      <w:r>
        <w:rPr>
          <w:spacing w:val="-16"/>
          <w:sz w:val="32"/>
          <w:szCs w:val="32"/>
        </w:rPr>
        <w:t xml:space="preserve">施，形成 </w:t>
      </w:r>
      <w:r>
        <w:rPr>
          <w:rFonts w:ascii="Times New Roman" w:eastAsia="Times New Roman"/>
          <w:sz w:val="32"/>
          <w:szCs w:val="32"/>
        </w:rPr>
        <w:t xml:space="preserve">15 </w:t>
      </w:r>
      <w:r>
        <w:rPr>
          <w:sz w:val="32"/>
          <w:szCs w:val="32"/>
        </w:rPr>
        <w:t>分钟生活圈。邻里中心配置社区活动中心、</w:t>
      </w:r>
      <w:r>
        <w:rPr>
          <w:spacing w:val="-4"/>
          <w:sz w:val="32"/>
          <w:szCs w:val="32"/>
        </w:rPr>
        <w:t xml:space="preserve">便民市场等设施，形成 </w:t>
      </w:r>
      <w:r>
        <w:rPr>
          <w:rFonts w:ascii="Times New Roman" w:eastAsia="Times New Roman"/>
          <w:sz w:val="32"/>
          <w:szCs w:val="32"/>
        </w:rPr>
        <w:t xml:space="preserve">10 </w:t>
      </w:r>
      <w:r>
        <w:rPr>
          <w:sz w:val="32"/>
          <w:szCs w:val="32"/>
        </w:rPr>
        <w:t>分钟生活圈。街坊中心配置</w:t>
      </w:r>
      <w:r>
        <w:rPr>
          <w:rFonts w:ascii="Times New Roman" w:eastAsia="Times New Roman"/>
          <w:sz w:val="32"/>
          <w:szCs w:val="32"/>
        </w:rPr>
        <w:t xml:space="preserve">24 </w:t>
      </w:r>
      <w:r>
        <w:rPr>
          <w:spacing w:val="-2"/>
          <w:sz w:val="32"/>
          <w:szCs w:val="32"/>
        </w:rPr>
        <w:t>小时便利店、街头绿地、社区服</w:t>
      </w:r>
      <w:r>
        <w:rPr>
          <w:spacing w:val="-11"/>
          <w:sz w:val="32"/>
          <w:szCs w:val="32"/>
        </w:rPr>
        <w:t>务站、文化活动站、社区卫生服务站、快递货物</w:t>
      </w:r>
      <w:r>
        <w:rPr>
          <w:sz w:val="32"/>
          <w:szCs w:val="32"/>
        </w:rPr>
        <w:t xml:space="preserve">集散站等设施，形成 </w:t>
      </w:r>
      <w:r>
        <w:rPr>
          <w:rFonts w:ascii="Times New Roman" w:eastAsia="Times New Roman"/>
          <w:sz w:val="32"/>
          <w:szCs w:val="32"/>
        </w:rPr>
        <w:t xml:space="preserve">5 </w:t>
      </w:r>
      <w:r>
        <w:rPr>
          <w:sz w:val="32"/>
          <w:szCs w:val="32"/>
        </w:rPr>
        <w:t>分钟生活圈。</w:t>
      </w:r>
      <w:r>
        <w:rPr>
          <w:rFonts w:hint="eastAsia" w:ascii="宋体" w:eastAsia="宋体"/>
          <w:sz w:val="32"/>
          <w:szCs w:val="32"/>
        </w:rPr>
        <w:t xml:space="preserve"> </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23" w:firstLine="627" w:firstLineChars="200"/>
        <w:jc w:val="both"/>
        <w:textAlignment w:val="auto"/>
      </w:pPr>
      <w:r>
        <w:rPr>
          <w:b/>
          <w:spacing w:val="-4"/>
          <w:sz w:val="32"/>
          <w:szCs w:val="32"/>
        </w:rPr>
        <w:t>打造高效便捷的商业服务体系。</w:t>
      </w:r>
      <w:r>
        <w:rPr>
          <w:spacing w:val="-7"/>
          <w:sz w:val="32"/>
          <w:szCs w:val="32"/>
        </w:rPr>
        <w:t>合理布局便民商业网点，建</w:t>
      </w:r>
      <w:r>
        <w:rPr>
          <w:spacing w:val="-13"/>
          <w:sz w:val="32"/>
          <w:szCs w:val="32"/>
        </w:rPr>
        <w:t>设智慧社区商业服务平台，推动商业服务多样化品牌化发展，创新低成本、智慧化的社区商业服务供给模式，推动本土优秀商业</w:t>
      </w:r>
      <w:r>
        <w:rPr>
          <w:spacing w:val="-14"/>
          <w:sz w:val="32"/>
          <w:szCs w:val="32"/>
        </w:rPr>
        <w:t>服务品牌的创立。织密街区商业网络，引入文化、体验、健康等</w:t>
      </w:r>
      <w:r>
        <w:rPr>
          <w:spacing w:val="-13"/>
          <w:sz w:val="32"/>
          <w:szCs w:val="32"/>
        </w:rPr>
        <w:t>消费业态，打造商业氛围浓厚的特色街区。依据区位、市场需求</w:t>
      </w:r>
      <w:r>
        <w:rPr>
          <w:spacing w:val="-14"/>
          <w:sz w:val="32"/>
          <w:szCs w:val="32"/>
        </w:rPr>
        <w:t>等条件，建设融合高端酒店、商务办公、</w:t>
      </w:r>
      <w:r>
        <w:rPr>
          <w:rFonts w:hint="eastAsia"/>
          <w:spacing w:val="-14"/>
          <w:sz w:val="32"/>
          <w:szCs w:val="32"/>
          <w:lang w:val="en-US" w:eastAsia="zh-CN"/>
        </w:rPr>
        <w:t>旅游休闲</w:t>
      </w:r>
      <w:r>
        <w:rPr>
          <w:spacing w:val="-11"/>
          <w:sz w:val="32"/>
          <w:szCs w:val="32"/>
        </w:rPr>
        <w:t>、医疗养生、亲子活动等主题业态为一体的高端商业综合体。</w:t>
      </w:r>
    </w:p>
    <w:p>
      <w:pPr>
        <w:pStyle w:val="4"/>
        <w:numPr>
          <w:ilvl w:val="0"/>
          <w:numId w:val="6"/>
        </w:numPr>
        <w:tabs>
          <w:tab w:val="left" w:pos="1279"/>
        </w:tabs>
        <w:spacing w:before="65"/>
        <w:ind w:left="0" w:leftChars="0" w:firstLine="0" w:firstLineChars="0"/>
      </w:pPr>
      <w:bookmarkStart w:id="24" w:name="_bookmark22"/>
      <w:bookmarkEnd w:id="24"/>
      <w:bookmarkStart w:id="25" w:name="_Toc16385"/>
      <w:r>
        <w:rPr>
          <w:rFonts w:hint="eastAsia"/>
          <w:lang w:val="en-US" w:eastAsia="zh-CN"/>
        </w:rPr>
        <w:t>保护恢复泉水</w:t>
      </w:r>
      <w:r>
        <w:t>生态环境</w:t>
      </w:r>
      <w:bookmarkEnd w:id="25"/>
    </w:p>
    <w:p>
      <w:pPr>
        <w:numPr>
          <w:ilvl w:val="0"/>
          <w:numId w:val="0"/>
        </w:numPr>
        <w:ind w:leftChars="0" w:right="0" w:rightChars="0"/>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619" w:firstLine="608" w:firstLineChars="200"/>
        <w:textAlignment w:val="auto"/>
        <w:rPr>
          <w:sz w:val="32"/>
          <w:szCs w:val="32"/>
        </w:rPr>
      </w:pPr>
      <w:r>
        <w:rPr>
          <w:rFonts w:hint="eastAsia"/>
          <w:spacing w:val="-8"/>
          <w:sz w:val="32"/>
          <w:szCs w:val="32"/>
        </w:rPr>
        <w:t>以水为脉，构建特色空间格局。探查泉水、泉渠分布</w:t>
      </w:r>
      <w:r>
        <w:rPr>
          <w:rFonts w:hint="eastAsia"/>
          <w:spacing w:val="-8"/>
          <w:sz w:val="32"/>
          <w:szCs w:val="32"/>
          <w:lang w:eastAsia="zh-CN"/>
        </w:rPr>
        <w:t>，</w:t>
      </w:r>
      <w:r>
        <w:rPr>
          <w:rFonts w:hint="eastAsia"/>
          <w:spacing w:val="-8"/>
          <w:sz w:val="32"/>
          <w:szCs w:val="32"/>
          <w:lang w:val="en-US" w:eastAsia="zh-CN"/>
        </w:rPr>
        <w:t>并</w:t>
      </w:r>
      <w:r>
        <w:rPr>
          <w:rFonts w:hint="eastAsia"/>
          <w:spacing w:val="-8"/>
          <w:sz w:val="32"/>
          <w:szCs w:val="32"/>
        </w:rPr>
        <w:t>将泉水扩展到相关联的街巷、院落和公共空间</w:t>
      </w:r>
      <w:r>
        <w:rPr>
          <w:rFonts w:hint="eastAsia"/>
          <w:spacing w:val="-8"/>
          <w:sz w:val="32"/>
          <w:szCs w:val="32"/>
          <w:lang w:eastAsia="zh-CN"/>
        </w:rPr>
        <w:t>。优先进行泉水及相关资源保护、恢复、提升。</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468" w:firstLine="623" w:firstLineChars="200"/>
        <w:textAlignment w:val="auto"/>
        <w:rPr>
          <w:sz w:val="32"/>
          <w:szCs w:val="32"/>
        </w:rPr>
      </w:pPr>
      <w:r>
        <w:rPr>
          <w:rFonts w:hint="eastAsia"/>
          <w:b/>
          <w:spacing w:val="-5"/>
          <w:sz w:val="32"/>
          <w:szCs w:val="32"/>
        </w:rPr>
        <w:t>恢复和整治泉水，疏通和提升泉渠</w:t>
      </w:r>
      <w:r>
        <w:rPr>
          <w:b/>
          <w:spacing w:val="-5"/>
          <w:sz w:val="32"/>
          <w:szCs w:val="32"/>
        </w:rPr>
        <w:t>。</w:t>
      </w:r>
      <w:r>
        <w:rPr>
          <w:rFonts w:hint="eastAsia"/>
          <w:spacing w:val="-8"/>
          <w:sz w:val="32"/>
          <w:szCs w:val="32"/>
        </w:rPr>
        <w:t>探查泉水、泉渠分布</w:t>
      </w:r>
      <w:r>
        <w:rPr>
          <w:rFonts w:hint="eastAsia"/>
          <w:spacing w:val="-8"/>
          <w:sz w:val="32"/>
          <w:szCs w:val="32"/>
          <w:lang w:eastAsia="zh-CN"/>
        </w:rPr>
        <w:t>，</w:t>
      </w:r>
      <w:r>
        <w:rPr>
          <w:rFonts w:hint="eastAsia"/>
          <w:spacing w:val="-8"/>
          <w:sz w:val="32"/>
          <w:szCs w:val="32"/>
          <w:lang w:val="en-US" w:eastAsia="zh-CN"/>
        </w:rPr>
        <w:t>并</w:t>
      </w:r>
      <w:r>
        <w:rPr>
          <w:rFonts w:hint="eastAsia"/>
          <w:spacing w:val="-8"/>
          <w:sz w:val="32"/>
          <w:szCs w:val="32"/>
        </w:rPr>
        <w:t>将泉水扩展到相关联的街巷、院落和公共空间</w:t>
      </w:r>
      <w:r>
        <w:rPr>
          <w:rFonts w:hint="eastAsia"/>
          <w:spacing w:val="-8"/>
          <w:sz w:val="32"/>
          <w:szCs w:val="32"/>
          <w:lang w:eastAsia="zh-CN"/>
        </w:rPr>
        <w:t>。优先进行泉水及相关资源保护、恢复、提升。恢复被埋没泉池；增加直饮水系统，发挥泉水功能，合理利用泉水资源；将泉池结合周围绿化做成景观小品或街头绿地；修缮泉口，防止泉水受污染，引入市政管网，疏通水道；疏通地下水道，清淤，市政污水与泉水水渠分离；暗渠部分段揭露展示；有条件可请出暗渠上方违章建筑及风貌不协调建筑。</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22" w:firstLine="619" w:firstLineChars="200"/>
        <w:jc w:val="both"/>
        <w:textAlignment w:val="auto"/>
        <w:rPr>
          <w:sz w:val="32"/>
          <w:szCs w:val="32"/>
        </w:rPr>
      </w:pPr>
      <w:r>
        <w:rPr>
          <w:rFonts w:hint="eastAsia"/>
          <w:b/>
          <w:spacing w:val="-6"/>
          <w:sz w:val="32"/>
          <w:szCs w:val="32"/>
        </w:rPr>
        <w:t>修缮泉水建筑，展示泉水古迹遗址</w:t>
      </w:r>
      <w:r>
        <w:rPr>
          <w:b/>
          <w:spacing w:val="-6"/>
          <w:sz w:val="32"/>
          <w:szCs w:val="32"/>
        </w:rPr>
        <w:t>。</w:t>
      </w:r>
      <w:r>
        <w:rPr>
          <w:rFonts w:hint="eastAsia"/>
          <w:spacing w:val="-7"/>
          <w:sz w:val="32"/>
          <w:szCs w:val="32"/>
        </w:rPr>
        <w:t>整治与水池、泉渠联系紧密的院落空间和建筑对历史价值较高、水质好、水量大的院落泉池所在民居院落进行腾退，而后对整体院落环境、泉池景观进行修复和提升。保护、展示与泉水水系关系密切的建筑遗址。如泰山行宫遗址的保护设计，整体保护百花洲历史泉系。西城墙遗址保护设计，也形成很好的展示空间。</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firstLine="619" w:firstLineChars="200"/>
        <w:textAlignment w:val="auto"/>
        <w:rPr>
          <w:rFonts w:hint="eastAsia"/>
          <w:lang w:val="en-US" w:eastAsia="zh-CN"/>
        </w:rPr>
      </w:pPr>
      <w:r>
        <w:rPr>
          <w:rFonts w:hint="eastAsia"/>
          <w:b/>
          <w:spacing w:val="-6"/>
          <w:sz w:val="32"/>
          <w:szCs w:val="32"/>
        </w:rPr>
        <w:t>实现大尺度的泉道路线贯</w:t>
      </w:r>
      <w:r>
        <w:rPr>
          <w:rFonts w:hint="eastAsia"/>
          <w:b/>
          <w:spacing w:val="-6"/>
          <w:sz w:val="32"/>
          <w:szCs w:val="32"/>
          <w:lang w:val="en-US" w:eastAsia="zh-CN"/>
        </w:rPr>
        <w:t>通。</w:t>
      </w:r>
      <w:r>
        <w:rPr>
          <w:rFonts w:hint="eastAsia"/>
          <w:sz w:val="32"/>
          <w:szCs w:val="32"/>
          <w:lang w:val="en-US" w:eastAsia="zh-CN"/>
        </w:rPr>
        <w:t>恢复小明湖，对古人设计的古城导流体系进行补全；通过要素权重叠加评估，明确重点展示和利用区域打破阻隔的界面，让街区特色空间体系全面融入“一湖一环”的城市开放空间。形成20条文化探访路径，打通与一湖一环的联系，同时对探访路径进行综合提升：立面整治、街巷环境景观提升、公共空间改造、基础设施提升。逐步开放陈冕状元府、万家大院、张家大院等32个泉水院落，供公众探访。形成6大特色片区和1处远期更新片区。</w:t>
      </w:r>
    </w:p>
    <w:p>
      <w:pPr>
        <w:pStyle w:val="6"/>
        <w:spacing w:before="44"/>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840730" cy="3056255"/>
            <wp:effectExtent l="0" t="0" r="7620" b="10795"/>
            <wp:docPr id="112" name="图片 112" descr="93ea9a46b0ef1fa3d5945dd67dd3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93ea9a46b0ef1fa3d5945dd67dd3c94"/>
                    <pic:cNvPicPr>
                      <a:picLocks noChangeAspect="1"/>
                    </pic:cNvPicPr>
                  </pic:nvPicPr>
                  <pic:blipFill>
                    <a:blip r:embed="rId16"/>
                    <a:stretch>
                      <a:fillRect/>
                    </a:stretch>
                  </pic:blipFill>
                  <pic:spPr>
                    <a:xfrm>
                      <a:off x="0" y="0"/>
                      <a:ext cx="5840730" cy="3056255"/>
                    </a:xfrm>
                    <a:prstGeom prst="rect">
                      <a:avLst/>
                    </a:prstGeom>
                  </pic:spPr>
                </pic:pic>
              </a:graphicData>
            </a:graphic>
          </wp:inline>
        </w:drawing>
      </w:r>
    </w:p>
    <w:p>
      <w:pPr>
        <w:pStyle w:val="6"/>
        <w:spacing w:before="44"/>
        <w:jc w:val="both"/>
        <w:rPr>
          <w:rFonts w:hint="eastAsia"/>
          <w:lang w:val="en-US" w:eastAsia="zh-CN"/>
        </w:rPr>
      </w:pPr>
    </w:p>
    <w:p>
      <w:pPr>
        <w:pStyle w:val="6"/>
        <w:spacing w:before="44"/>
        <w:jc w:val="center"/>
        <w:rPr>
          <w:rFonts w:hint="default"/>
          <w:lang w:val="en-US" w:eastAsia="zh-CN"/>
        </w:rPr>
      </w:pPr>
      <w:r>
        <w:rPr>
          <w:rFonts w:hint="eastAsia" w:ascii="宋体" w:eastAsia="宋体"/>
          <w:sz w:val="21"/>
        </w:rPr>
        <w:t xml:space="preserve">图 </w:t>
      </w:r>
      <w:r>
        <w:rPr>
          <w:rFonts w:hint="eastAsia" w:ascii="宋体" w:eastAsia="宋体"/>
          <w:sz w:val="21"/>
          <w:lang w:val="en-US" w:eastAsia="zh-CN"/>
        </w:rPr>
        <w:t>5</w:t>
      </w:r>
      <w:r>
        <w:rPr>
          <w:rFonts w:ascii="Times New Roman" w:eastAsia="Times New Roman"/>
          <w:sz w:val="21"/>
        </w:rPr>
        <w:t>-</w:t>
      </w:r>
      <w:r>
        <w:rPr>
          <w:rFonts w:hint="eastAsia" w:ascii="Times New Roman" w:eastAsia="宋体"/>
          <w:sz w:val="21"/>
          <w:lang w:val="en-US" w:eastAsia="zh-CN"/>
        </w:rPr>
        <w:t>1</w:t>
      </w:r>
      <w:r>
        <w:rPr>
          <w:rFonts w:hint="eastAsia" w:ascii="宋体" w:eastAsia="宋体"/>
          <w:sz w:val="21"/>
          <w:lang w:val="en-US" w:eastAsia="zh-CN"/>
        </w:rPr>
        <w:t>济南古城（明府城片区）六大特色片区</w:t>
      </w:r>
    </w:p>
    <w:p>
      <w:pPr>
        <w:pStyle w:val="6"/>
        <w:spacing w:before="2"/>
        <w:rPr>
          <w:sz w:val="20"/>
        </w:rPr>
      </w:pPr>
    </w:p>
    <w:p>
      <w:pPr>
        <w:pStyle w:val="4"/>
        <w:numPr>
          <w:ilvl w:val="0"/>
          <w:numId w:val="6"/>
        </w:numPr>
        <w:tabs>
          <w:tab w:val="left" w:pos="1279"/>
        </w:tabs>
        <w:spacing w:before="67"/>
        <w:ind w:left="0" w:leftChars="0" w:right="335" w:firstLine="0" w:firstLineChars="0"/>
      </w:pPr>
      <w:bookmarkStart w:id="26" w:name="_bookmark24"/>
      <w:bookmarkEnd w:id="26"/>
      <w:bookmarkStart w:id="27" w:name="_bookmark23"/>
      <w:bookmarkEnd w:id="27"/>
      <w:bookmarkStart w:id="28" w:name="_Toc5102"/>
      <w:r>
        <w:t>建设国际化</w:t>
      </w:r>
      <w:r>
        <w:rPr>
          <w:spacing w:val="3"/>
        </w:rPr>
        <w:t>文</w:t>
      </w:r>
      <w:r>
        <w:t>化环境</w:t>
      </w:r>
      <w:bookmarkEnd w:id="28"/>
    </w:p>
    <w:p>
      <w:pPr>
        <w:numPr>
          <w:ilvl w:val="0"/>
          <w:numId w:val="0"/>
        </w:numPr>
        <w:ind w:leftChars="0" w:right="0" w:rightChars="0"/>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618" w:firstLine="612" w:firstLineChars="200"/>
        <w:jc w:val="both"/>
        <w:textAlignment w:val="auto"/>
        <w:rPr>
          <w:sz w:val="32"/>
          <w:szCs w:val="32"/>
        </w:rPr>
      </w:pPr>
      <w:r>
        <w:rPr>
          <w:spacing w:val="-7"/>
          <w:sz w:val="32"/>
          <w:szCs w:val="32"/>
        </w:rPr>
        <w:t>以高水平开放聚集创新发展能量，传承传统文化，发扬企业</w:t>
      </w:r>
      <w:r>
        <w:rPr>
          <w:spacing w:val="-11"/>
          <w:sz w:val="32"/>
          <w:szCs w:val="32"/>
        </w:rPr>
        <w:t>家精神，打造国际化营商和生活环境文化氛围，提升创新活力和</w:t>
      </w:r>
      <w:r>
        <w:rPr>
          <w:sz w:val="32"/>
          <w:szCs w:val="32"/>
        </w:rPr>
        <w:t>人文魅力，塑造对全球优质要素的吸引力。</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616" w:firstLine="619" w:firstLineChars="200"/>
        <w:jc w:val="both"/>
        <w:textAlignment w:val="auto"/>
        <w:rPr>
          <w:sz w:val="32"/>
          <w:szCs w:val="32"/>
        </w:rPr>
      </w:pPr>
      <w:r>
        <w:rPr>
          <w:b/>
          <w:spacing w:val="-6"/>
          <w:sz w:val="32"/>
          <w:szCs w:val="32"/>
        </w:rPr>
        <w:t>打造国际化营商环境。</w:t>
      </w:r>
      <w:r>
        <w:rPr>
          <w:spacing w:val="-7"/>
          <w:sz w:val="32"/>
          <w:szCs w:val="32"/>
        </w:rPr>
        <w:t>对标国际市场规则体系，建立便捷高</w:t>
      </w:r>
      <w:r>
        <w:rPr>
          <w:spacing w:val="-11"/>
          <w:sz w:val="32"/>
          <w:szCs w:val="32"/>
        </w:rPr>
        <w:t>效的政务环境，放宽外商准入限制，积极引进全球一流的科研机</w:t>
      </w:r>
      <w:r>
        <w:rPr>
          <w:spacing w:val="-10"/>
          <w:sz w:val="32"/>
          <w:szCs w:val="32"/>
        </w:rPr>
        <w:t>构和重点企业。营造更具吸引力的人才发展和创新创业环境，以</w:t>
      </w:r>
      <w:r>
        <w:rPr>
          <w:spacing w:val="-9"/>
          <w:sz w:val="32"/>
          <w:szCs w:val="32"/>
        </w:rPr>
        <w:t>吸引和培养高层次、创新型和高技能人才为重点，建设国际科创</w:t>
      </w:r>
      <w:r>
        <w:rPr>
          <w:spacing w:val="-11"/>
          <w:sz w:val="32"/>
          <w:szCs w:val="32"/>
        </w:rPr>
        <w:t>区和国际人才集聚区，探索建立国际国内协同创新的应用研究产业化机制。营造公平公正的法</w:t>
      </w:r>
      <w:r>
        <w:rPr>
          <w:spacing w:val="-10"/>
          <w:sz w:val="32"/>
          <w:szCs w:val="32"/>
        </w:rPr>
        <w:t>治环境，实施最严格的知产权保护，规范涉企执法制度，建立完</w:t>
      </w:r>
      <w:r>
        <w:rPr>
          <w:sz w:val="32"/>
          <w:szCs w:val="32"/>
        </w:rPr>
        <w:t>善财产权保护机制。</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467" w:firstLine="619" w:firstLineChars="200"/>
        <w:textAlignment w:val="auto"/>
        <w:rPr>
          <w:sz w:val="32"/>
          <w:szCs w:val="32"/>
        </w:rPr>
      </w:pPr>
      <w:r>
        <w:rPr>
          <w:b/>
          <w:spacing w:val="-6"/>
          <w:sz w:val="32"/>
          <w:szCs w:val="32"/>
        </w:rPr>
        <w:t>营造国际化人文环境。</w:t>
      </w:r>
      <w:r>
        <w:rPr>
          <w:spacing w:val="-5"/>
          <w:sz w:val="32"/>
          <w:szCs w:val="32"/>
        </w:rPr>
        <w:t>打造国际化水平的硬件设施，建设体</w:t>
      </w:r>
      <w:r>
        <w:rPr>
          <w:spacing w:val="-10"/>
          <w:sz w:val="32"/>
          <w:szCs w:val="32"/>
        </w:rPr>
        <w:t>现地域文化特色的国际化标准化标识系统，畅通外籍人士信息获</w:t>
      </w:r>
      <w:r>
        <w:rPr>
          <w:spacing w:val="-11"/>
          <w:sz w:val="32"/>
          <w:szCs w:val="32"/>
        </w:rPr>
        <w:t>取渠道，以全面建设国际化未来社区为导向，引导外籍人士与国</w:t>
      </w:r>
      <w:r>
        <w:rPr>
          <w:spacing w:val="-14"/>
          <w:sz w:val="32"/>
          <w:szCs w:val="32"/>
        </w:rPr>
        <w:t>内居民混合居住。营造国际化语言环境，提高管理和服务机构多</w:t>
      </w:r>
      <w:r>
        <w:rPr>
          <w:spacing w:val="-20"/>
          <w:sz w:val="32"/>
          <w:szCs w:val="32"/>
        </w:rPr>
        <w:t xml:space="preserve">语种沟通服务能力。开展国际交往礼仪、公共场所礼仪普及教育， </w:t>
      </w:r>
      <w:r>
        <w:rPr>
          <w:spacing w:val="-6"/>
          <w:sz w:val="32"/>
          <w:szCs w:val="32"/>
        </w:rPr>
        <w:t>尊重国际人士的风俗习惯和宗教信仰，培育多元性和包容性的城市文化。</w:t>
      </w: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467" w:firstLine="619" w:firstLineChars="200"/>
        <w:textAlignment w:val="auto"/>
      </w:pPr>
      <w:r>
        <w:rPr>
          <w:b/>
          <w:spacing w:val="-6"/>
          <w:sz w:val="32"/>
          <w:szCs w:val="32"/>
        </w:rPr>
        <w:t>传承发扬传统文化。</w:t>
      </w:r>
      <w:r>
        <w:rPr>
          <w:spacing w:val="-6"/>
          <w:sz w:val="32"/>
          <w:szCs w:val="32"/>
        </w:rPr>
        <w:t>着力推动中外文化交流，传承弘扬</w:t>
      </w:r>
      <w:r>
        <w:rPr>
          <w:rFonts w:hint="eastAsia"/>
          <w:spacing w:val="-6"/>
          <w:sz w:val="32"/>
          <w:szCs w:val="32"/>
          <w:lang w:val="en-US" w:eastAsia="zh-CN"/>
        </w:rPr>
        <w:t>泉城</w:t>
      </w:r>
      <w:r>
        <w:rPr>
          <w:spacing w:val="-12"/>
          <w:sz w:val="32"/>
          <w:szCs w:val="32"/>
        </w:rPr>
        <w:t>文化，彰显</w:t>
      </w:r>
      <w:r>
        <w:rPr>
          <w:rFonts w:hint="eastAsia"/>
          <w:spacing w:val="-12"/>
          <w:sz w:val="32"/>
          <w:szCs w:val="32"/>
          <w:lang w:val="en-US" w:eastAsia="zh-CN"/>
        </w:rPr>
        <w:t>济南</w:t>
      </w:r>
      <w:r>
        <w:rPr>
          <w:spacing w:val="-12"/>
          <w:sz w:val="32"/>
          <w:szCs w:val="32"/>
        </w:rPr>
        <w:t>历史文化名城独特魅力，建立文化传播交流机</w:t>
      </w:r>
      <w:r>
        <w:rPr>
          <w:spacing w:val="-18"/>
          <w:sz w:val="32"/>
          <w:szCs w:val="32"/>
        </w:rPr>
        <w:t>制。打造文化国际交流基地，重点提标改造建设</w:t>
      </w:r>
      <w:r>
        <w:rPr>
          <w:spacing w:val="-11"/>
          <w:sz w:val="32"/>
          <w:szCs w:val="32"/>
        </w:rPr>
        <w:t>文化主题的场所，营造中西相融古今一体的</w:t>
      </w:r>
      <w:r>
        <w:rPr>
          <w:spacing w:val="-12"/>
          <w:sz w:val="32"/>
          <w:szCs w:val="32"/>
        </w:rPr>
        <w:t>文化城区，积极向国际友人推介本地传统文化项目。发扬本地民营经济开拓进取的精神，引导形成国际创新创业文化氛围。</w:t>
      </w:r>
    </w:p>
    <w:p>
      <w:pPr>
        <w:pStyle w:val="6"/>
      </w:pPr>
    </w:p>
    <w:p>
      <w:pPr>
        <w:pStyle w:val="6"/>
        <w:spacing w:before="2"/>
        <w:rPr>
          <w:sz w:val="27"/>
        </w:rPr>
      </w:pPr>
    </w:p>
    <w:p>
      <w:pPr>
        <w:pStyle w:val="3"/>
        <w:ind w:right="568"/>
      </w:pPr>
      <w:bookmarkStart w:id="29" w:name="_bookmark25"/>
      <w:bookmarkEnd w:id="29"/>
      <w:bookmarkStart w:id="30" w:name="_Toc20687"/>
      <w:r>
        <w:t>第</w:t>
      </w:r>
      <w:r>
        <w:rPr>
          <w:rFonts w:hint="eastAsia"/>
          <w:lang w:val="en-US" w:eastAsia="zh-CN"/>
        </w:rPr>
        <w:t>六</w:t>
      </w:r>
      <w:r>
        <w:t>章 保障措施</w:t>
      </w:r>
      <w:bookmarkEnd w:id="30"/>
    </w:p>
    <w:p>
      <w:pPr>
        <w:pStyle w:val="6"/>
        <w:spacing w:before="13"/>
        <w:rPr>
          <w:rFonts w:ascii="微软雅黑"/>
          <w:b/>
          <w:sz w:val="24"/>
        </w:rPr>
      </w:pPr>
    </w:p>
    <w:p>
      <w:pPr>
        <w:pStyle w:val="4"/>
        <w:numPr>
          <w:ilvl w:val="0"/>
          <w:numId w:val="7"/>
        </w:numPr>
      </w:pPr>
      <w:bookmarkStart w:id="31" w:name="_bookmark26"/>
      <w:bookmarkEnd w:id="31"/>
      <w:bookmarkStart w:id="32" w:name="_Toc13535"/>
      <w:r>
        <w:t>创新组织实施机制</w:t>
      </w:r>
      <w:bookmarkEnd w:id="32"/>
    </w:p>
    <w:p>
      <w:pPr>
        <w:numPr>
          <w:ilvl w:val="0"/>
          <w:numId w:val="0"/>
        </w:numPr>
        <w:ind w:right="0" w:rightChars="0"/>
      </w:pPr>
    </w:p>
    <w:p>
      <w:pPr>
        <w:pStyle w:val="6"/>
        <w:keepNext w:val="0"/>
        <w:keepLines w:val="0"/>
        <w:pageBreakBefore w:val="0"/>
        <w:widowControl w:val="0"/>
        <w:kinsoku/>
        <w:wordWrap/>
        <w:overflowPunct/>
        <w:topLinePunct w:val="0"/>
        <w:autoSpaceDE w:val="0"/>
        <w:autoSpaceDN w:val="0"/>
        <w:bidi w:val="0"/>
        <w:adjustRightInd/>
        <w:snapToGrid/>
        <w:spacing w:line="360" w:lineRule="auto"/>
        <w:ind w:right="471" w:firstLine="583" w:firstLineChars="200"/>
        <w:textAlignment w:val="auto"/>
        <w:rPr>
          <w:rFonts w:hint="eastAsia"/>
          <w:spacing w:val="-3"/>
          <w:sz w:val="32"/>
          <w:szCs w:val="32"/>
        </w:rPr>
      </w:pPr>
      <w:r>
        <w:rPr>
          <w:b/>
          <w:spacing w:val="-15"/>
          <w:sz w:val="32"/>
          <w:szCs w:val="32"/>
        </w:rPr>
        <w:t>加强组织保障。</w:t>
      </w:r>
      <w:r>
        <w:rPr>
          <w:rFonts w:hint="eastAsia"/>
          <w:spacing w:val="-3"/>
          <w:sz w:val="32"/>
          <w:szCs w:val="32"/>
        </w:rPr>
        <w:t>为保障济南古城城市更新项目顺利实施，历下区政府负责项目征拆、维稳、宣传和群众工作；济南古城（明府城片区）城市更新工作专班牵头抓总，统筹负责项目后续运营管理和还款工作。按照“政府主导、公司化运营、市场化运作”的原则，由历下区政府牵头，济南城发古城城市更新有限公司通过市场化运作的方式确定具体项目后期运营合作伙伴，报市“中优”战略工作专班决策后，开展项目正式签约和后期运营管理工作。</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471" w:firstLine="611" w:firstLineChars="200"/>
        <w:textAlignment w:val="auto"/>
        <w:rPr>
          <w:rFonts w:hint="eastAsia"/>
          <w:spacing w:val="-6"/>
          <w:sz w:val="32"/>
          <w:szCs w:val="32"/>
        </w:rPr>
      </w:pPr>
      <w:r>
        <w:rPr>
          <w:b/>
          <w:spacing w:val="-8"/>
          <w:sz w:val="32"/>
          <w:szCs w:val="32"/>
        </w:rPr>
        <w:t>完善实施机制。</w:t>
      </w:r>
      <w:r>
        <w:rPr>
          <w:rFonts w:hint="eastAsia"/>
          <w:spacing w:val="-6"/>
          <w:sz w:val="32"/>
          <w:szCs w:val="32"/>
        </w:rPr>
        <w:t>根据《关于印发</w:t>
      </w:r>
      <w:r>
        <w:rPr>
          <w:rFonts w:hint="eastAsia"/>
          <w:spacing w:val="-6"/>
          <w:sz w:val="32"/>
          <w:szCs w:val="32"/>
          <w:lang w:eastAsia="zh-CN"/>
        </w:rPr>
        <w:t>〈</w:t>
      </w:r>
      <w:r>
        <w:rPr>
          <w:rFonts w:hint="eastAsia"/>
          <w:spacing w:val="-6"/>
          <w:sz w:val="32"/>
          <w:szCs w:val="32"/>
        </w:rPr>
        <w:t>济南市旧区改造类城市更新项目认定标准及相关工作实施流程</w:t>
      </w:r>
      <w:r>
        <w:rPr>
          <w:rFonts w:hint="eastAsia"/>
          <w:spacing w:val="-6"/>
          <w:sz w:val="32"/>
          <w:szCs w:val="32"/>
          <w:lang w:eastAsia="zh-CN"/>
        </w:rPr>
        <w:t>〉</w:t>
      </w:r>
      <w:r>
        <w:rPr>
          <w:rFonts w:hint="eastAsia"/>
          <w:spacing w:val="-6"/>
          <w:sz w:val="32"/>
          <w:szCs w:val="32"/>
        </w:rPr>
        <w:t>的通知》（济更组字〔2020〕2号）、《济南市住房和城乡建设局关于规范我市国有土地上房屋征收与补偿若干问题的通知》（济建征〔2020〕3号）等文件要求，项目的主要实施流程如下：</w:t>
      </w:r>
    </w:p>
    <w:p>
      <w:pPr>
        <w:pStyle w:val="6"/>
        <w:numPr>
          <w:ilvl w:val="0"/>
          <w:numId w:val="8"/>
        </w:numPr>
        <w:spacing w:line="364" w:lineRule="auto"/>
        <w:ind w:left="0" w:leftChars="0" w:right="468" w:firstLine="640" w:firstLineChars="200"/>
        <w:rPr>
          <w:rFonts w:hint="eastAsia"/>
          <w:sz w:val="32"/>
          <w:szCs w:val="32"/>
        </w:rPr>
      </w:pPr>
      <w:r>
        <w:rPr>
          <w:rFonts w:hint="eastAsia"/>
          <w:sz w:val="32"/>
          <w:szCs w:val="32"/>
        </w:rPr>
        <w:t>提出改造范围。区政府根据旧住宅区数据库内旧改地块基本情况和规划要求（含历史风貌保护、历史建筑保留保护要求等），对照旧区改造项目认定标准，提出旧区改造项目的具体范围。</w:t>
      </w:r>
    </w:p>
    <w:p>
      <w:pPr>
        <w:pStyle w:val="6"/>
        <w:numPr>
          <w:ilvl w:val="0"/>
          <w:numId w:val="8"/>
        </w:numPr>
        <w:spacing w:line="364" w:lineRule="auto"/>
        <w:ind w:left="0" w:leftChars="0" w:right="468" w:firstLine="640" w:firstLineChars="200"/>
        <w:rPr>
          <w:rFonts w:hint="eastAsia"/>
          <w:sz w:val="32"/>
          <w:szCs w:val="32"/>
        </w:rPr>
      </w:pPr>
      <w:r>
        <w:rPr>
          <w:rFonts w:hint="eastAsia"/>
          <w:sz w:val="32"/>
          <w:szCs w:val="32"/>
        </w:rPr>
        <w:t>明确改造方式。区政府根据旧区改造项目房屋现状情况，结合居民意愿，合理确定改造方式（改造方式主要包括房屋征收拆迁、房屋翻建、老旧小区整治等）。对于具有成片或局部风貌保护要求的旧区改造项目，应当开展历史建筑等具有保留保护价值要素的甄别，甄别初步结果作为确定改造方式的依据。</w:t>
      </w:r>
    </w:p>
    <w:p>
      <w:pPr>
        <w:pStyle w:val="6"/>
        <w:numPr>
          <w:ilvl w:val="0"/>
          <w:numId w:val="8"/>
        </w:numPr>
        <w:spacing w:line="364" w:lineRule="auto"/>
        <w:ind w:left="0" w:leftChars="0" w:right="468" w:firstLine="640" w:firstLineChars="200"/>
        <w:rPr>
          <w:rFonts w:hint="eastAsia"/>
          <w:sz w:val="32"/>
          <w:szCs w:val="32"/>
        </w:rPr>
      </w:pPr>
      <w:r>
        <w:rPr>
          <w:rFonts w:hint="eastAsia"/>
          <w:sz w:val="32"/>
          <w:szCs w:val="32"/>
        </w:rPr>
        <w:t>确定征收范围。①选择通过房屋征收方式实施改造的项目，由区旧区改造管理部门向市住房城乡建设局申报确认房屋征收范围。区旧区改造管理部门申报旧区改造房屋征收范围确认时，需提供申请报告、济南市旧区改造项目及范围认定申请表、项目地籍图或地形图等材料。②由市住房城乡建设局会同市自然资源和规划局、市文化和旅游局等部门共同研究后，以市城市更新工作领导小组办公室（简称“市城市更新办公室”）名义确认旧区改造项目房屋征收范围。</w:t>
      </w:r>
    </w:p>
    <w:p>
      <w:pPr>
        <w:pStyle w:val="6"/>
        <w:spacing w:line="364" w:lineRule="auto"/>
        <w:ind w:right="468" w:firstLine="640" w:firstLineChars="200"/>
        <w:rPr>
          <w:rFonts w:hint="eastAsia"/>
          <w:sz w:val="32"/>
          <w:szCs w:val="32"/>
        </w:rPr>
      </w:pPr>
      <w:r>
        <w:rPr>
          <w:rFonts w:hint="eastAsia"/>
          <w:sz w:val="32"/>
          <w:szCs w:val="32"/>
        </w:rPr>
        <w:t>按照老旧小区整治方式实施改造的项目，其实施管理按照我市有关规定执行。经市城市更新办公室核准后，由市住房城乡建设局列入年度修缮计划。符合条件的，按相关政策享受国家、省、市级财政补贴。</w:t>
      </w:r>
    </w:p>
    <w:p>
      <w:pPr>
        <w:pStyle w:val="6"/>
        <w:numPr>
          <w:ilvl w:val="0"/>
          <w:numId w:val="8"/>
        </w:numPr>
        <w:spacing w:line="364" w:lineRule="auto"/>
        <w:ind w:left="0" w:leftChars="0" w:right="468" w:firstLine="640" w:firstLineChars="200"/>
        <w:rPr>
          <w:rFonts w:hint="eastAsia"/>
          <w:sz w:val="32"/>
          <w:szCs w:val="32"/>
        </w:rPr>
      </w:pPr>
      <w:r>
        <w:rPr>
          <w:rFonts w:hint="eastAsia"/>
          <w:sz w:val="32"/>
          <w:szCs w:val="32"/>
        </w:rPr>
        <w:t>编制实施方案。对于通过房屋征收实施改造的项目，区旧区改建管理部门会同项目实施主体根据项目所在区域规划、历史建筑保留保护价值甄别初步结果、风貌保护要素等，组织编制旧区改造项目实施方案。实施方案主要包括项目基本情况、风貌保护要素、征收补偿安置预案、资金情况、改造时间节点安排等内容。</w:t>
      </w:r>
    </w:p>
    <w:p>
      <w:pPr>
        <w:pStyle w:val="6"/>
        <w:numPr>
          <w:ilvl w:val="0"/>
          <w:numId w:val="8"/>
        </w:numPr>
        <w:spacing w:line="364" w:lineRule="auto"/>
        <w:ind w:left="0" w:leftChars="0" w:right="468" w:firstLine="640" w:firstLineChars="200"/>
        <w:rPr>
          <w:rFonts w:hint="eastAsia"/>
          <w:sz w:val="32"/>
          <w:szCs w:val="32"/>
        </w:rPr>
      </w:pPr>
      <w:r>
        <w:rPr>
          <w:rFonts w:hint="eastAsia"/>
          <w:sz w:val="32"/>
          <w:szCs w:val="32"/>
        </w:rPr>
        <w:t>实施方案审核。①经区政府集体研究同意后出具认定文件明确开发建设实施主体。②区旧区改造管理部门指导实施主体编制改造项目实施方案，经区政府审核通过后报市城市更新办公室。③市城市更新办公室组织市发展改革、财政、自然资源和规划、文物保护等部门联合论证，并报市城市更新工作领导小组批准。</w:t>
      </w:r>
    </w:p>
    <w:p>
      <w:pPr>
        <w:pStyle w:val="6"/>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0" w:leftChars="0" w:right="471" w:firstLine="640" w:firstLineChars="200"/>
        <w:textAlignment w:val="auto"/>
        <w:rPr>
          <w:rFonts w:hint="eastAsia"/>
          <w:spacing w:val="-6"/>
          <w:sz w:val="32"/>
          <w:szCs w:val="32"/>
        </w:rPr>
      </w:pPr>
      <w:r>
        <w:rPr>
          <w:rFonts w:hint="eastAsia"/>
          <w:sz w:val="32"/>
          <w:szCs w:val="32"/>
        </w:rPr>
        <w:t>实施土地出让。实施主体可依据区政府认定文件，参与项目前期征收和施工前期准备工作。在完成房屋征收补偿、形成“净地”后，以“带实施方案挂牌”等方式实施土地出让并签订土地使用权出让合同。</w:t>
      </w:r>
    </w:p>
    <w:p>
      <w:pPr>
        <w:pStyle w:val="4"/>
        <w:numPr>
          <w:ilvl w:val="0"/>
          <w:numId w:val="7"/>
        </w:numPr>
        <w:spacing w:before="68"/>
        <w:ind w:left="0" w:leftChars="0" w:firstLine="0" w:firstLineChars="0"/>
        <w:rPr>
          <w:spacing w:val="3"/>
        </w:rPr>
      </w:pPr>
      <w:bookmarkStart w:id="33" w:name="_bookmark27"/>
      <w:bookmarkEnd w:id="33"/>
      <w:bookmarkStart w:id="34" w:name="_Toc10884"/>
      <w:r>
        <w:rPr>
          <w:spacing w:val="3"/>
        </w:rPr>
        <w:t>强化全面政策支持</w:t>
      </w:r>
      <w:bookmarkEnd w:id="34"/>
    </w:p>
    <w:p>
      <w:pPr>
        <w:rPr>
          <w:sz w:val="32"/>
          <w:szCs w:val="32"/>
        </w:rPr>
      </w:pPr>
    </w:p>
    <w:p>
      <w:pPr>
        <w:pStyle w:val="6"/>
        <w:keepNext w:val="0"/>
        <w:keepLines w:val="0"/>
        <w:pageBreakBefore w:val="0"/>
        <w:widowControl w:val="0"/>
        <w:kinsoku/>
        <w:wordWrap/>
        <w:overflowPunct/>
        <w:topLinePunct w:val="0"/>
        <w:autoSpaceDE w:val="0"/>
        <w:autoSpaceDN w:val="0"/>
        <w:bidi w:val="0"/>
        <w:adjustRightInd/>
        <w:snapToGrid/>
        <w:spacing w:before="0" w:line="360" w:lineRule="auto"/>
        <w:ind w:right="523" w:firstLine="636" w:firstLineChars="200"/>
        <w:textAlignment w:val="auto"/>
        <w:rPr>
          <w:spacing w:val="-1"/>
          <w:sz w:val="32"/>
          <w:szCs w:val="32"/>
        </w:rPr>
      </w:pPr>
      <w:r>
        <w:rPr>
          <w:rFonts w:hint="eastAsia"/>
          <w:spacing w:val="-1"/>
          <w:sz w:val="32"/>
          <w:szCs w:val="32"/>
        </w:rPr>
        <w:t>济南古城（明府城片区）城市更新项目按照市人大、市政府、市城市更新工作领导小组及有关部门等出台的政策文件执行，包括：</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《济南市历史文化名城保护条例》；</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《济南市国有土地上房屋征收与补偿办法》（市政府令第248号）；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《济南市人民政府办公厅关于加强历史文化保护深入推进城市有机更新的通知》（济政办字〔2020〕50号）；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《济南市人民政府办公厅关于进一步加强历史文化街区、传统风貌区和历史建筑保护工作的通知》（济政办字〔2020〕52号）；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《济南市人民政府办公厅关于深入推进老旧小区改造的实施意见》（济政办字〔2020〕21号）；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《济南市人民政府办公厅关于印发</w:t>
      </w:r>
      <w:r>
        <w:rPr>
          <w:rFonts w:hint="eastAsia"/>
          <w:spacing w:val="-13"/>
          <w:sz w:val="32"/>
          <w:szCs w:val="32"/>
          <w:lang w:eastAsia="zh-CN"/>
        </w:rPr>
        <w:t>〈</w:t>
      </w:r>
      <w:r>
        <w:rPr>
          <w:rFonts w:hint="eastAsia"/>
          <w:spacing w:val="-13"/>
          <w:sz w:val="32"/>
          <w:szCs w:val="32"/>
        </w:rPr>
        <w:t>济南市国有土地上房屋征收与补偿办法</w:t>
      </w:r>
      <w:r>
        <w:rPr>
          <w:rFonts w:hint="eastAsia"/>
          <w:spacing w:val="-13"/>
          <w:sz w:val="32"/>
          <w:szCs w:val="32"/>
          <w:lang w:eastAsia="zh-CN"/>
        </w:rPr>
        <w:t>〉</w:t>
      </w:r>
      <w:r>
        <w:rPr>
          <w:rFonts w:hint="eastAsia"/>
          <w:spacing w:val="-13"/>
          <w:sz w:val="32"/>
          <w:szCs w:val="32"/>
        </w:rPr>
        <w:t>实施细则的通知》（济政办发〔2021〕2号）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《关于印发</w:t>
      </w:r>
      <w:r>
        <w:rPr>
          <w:rFonts w:hint="eastAsia"/>
          <w:spacing w:val="-13"/>
          <w:sz w:val="32"/>
          <w:szCs w:val="32"/>
          <w:lang w:eastAsia="zh-CN"/>
        </w:rPr>
        <w:t>〈</w:t>
      </w:r>
      <w:r>
        <w:rPr>
          <w:rFonts w:hint="eastAsia"/>
          <w:spacing w:val="-13"/>
          <w:sz w:val="32"/>
          <w:szCs w:val="32"/>
        </w:rPr>
        <w:t>济南市旧区改造类城市更新项目认定标准及相关工作实施流程</w:t>
      </w:r>
      <w:r>
        <w:rPr>
          <w:rFonts w:hint="eastAsia"/>
          <w:spacing w:val="-13"/>
          <w:sz w:val="32"/>
          <w:szCs w:val="32"/>
          <w:lang w:eastAsia="zh-CN"/>
        </w:rPr>
        <w:t>〉</w:t>
      </w:r>
      <w:r>
        <w:rPr>
          <w:rFonts w:hint="eastAsia"/>
          <w:spacing w:val="-13"/>
          <w:sz w:val="32"/>
          <w:szCs w:val="32"/>
        </w:rPr>
        <w:t>的通知》（济更组字〔2020〕2号）；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《关于加强历史风貌保护深入推进城市有机更新的若干措施》（济自然规划发〔2020〕204号）；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《关于印发</w:t>
      </w:r>
      <w:r>
        <w:rPr>
          <w:rFonts w:hint="eastAsia"/>
          <w:spacing w:val="-13"/>
          <w:sz w:val="32"/>
          <w:szCs w:val="32"/>
          <w:lang w:eastAsia="zh-CN"/>
        </w:rPr>
        <w:t>〈</w:t>
      </w:r>
      <w:r>
        <w:rPr>
          <w:rFonts w:hint="eastAsia"/>
          <w:spacing w:val="-13"/>
          <w:sz w:val="32"/>
          <w:szCs w:val="32"/>
        </w:rPr>
        <w:t>济南市城市更新财政专项资金管理办法</w:t>
      </w:r>
      <w:r>
        <w:rPr>
          <w:rFonts w:hint="eastAsia"/>
          <w:spacing w:val="-13"/>
          <w:sz w:val="32"/>
          <w:szCs w:val="32"/>
          <w:lang w:eastAsia="zh-CN"/>
        </w:rPr>
        <w:t>〉</w:t>
      </w:r>
      <w:bookmarkStart w:id="35" w:name="_GoBack"/>
      <w:bookmarkEnd w:id="35"/>
      <w:r>
        <w:rPr>
          <w:rFonts w:hint="eastAsia"/>
          <w:spacing w:val="-13"/>
          <w:sz w:val="32"/>
          <w:szCs w:val="32"/>
        </w:rPr>
        <w:t>的通知》（济财综〔2020〕30号）；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《济南市住房和城乡建设局关于规范我市国有土地上房屋征收与补偿若干问题的通知》（济建征〔2020〕3号）；</w:t>
      </w:r>
    </w:p>
    <w:p>
      <w:pPr>
        <w:pStyle w:val="6"/>
        <w:keepNext w:val="0"/>
        <w:keepLines w:val="0"/>
        <w:pageBreakBefore w:val="0"/>
        <w:widowControl w:val="0"/>
        <w:numPr>
          <w:ilvl w:val="0"/>
          <w:numId w:val="9"/>
        </w:numPr>
        <w:kinsoku/>
        <w:wordWrap/>
        <w:overflowPunct/>
        <w:topLinePunct w:val="0"/>
        <w:autoSpaceDE w:val="0"/>
        <w:autoSpaceDN w:val="0"/>
        <w:bidi w:val="0"/>
        <w:adjustRightInd/>
        <w:snapToGrid/>
        <w:spacing w:before="0" w:line="360" w:lineRule="auto"/>
        <w:ind w:left="0" w:leftChars="0" w:right="615" w:firstLine="588" w:firstLineChars="200"/>
        <w:jc w:val="both"/>
        <w:textAlignment w:val="auto"/>
        <w:rPr>
          <w:spacing w:val="-13"/>
          <w:sz w:val="32"/>
          <w:szCs w:val="32"/>
        </w:rPr>
      </w:pPr>
      <w:r>
        <w:rPr>
          <w:rFonts w:hint="eastAsia"/>
          <w:spacing w:val="-13"/>
          <w:sz w:val="32"/>
          <w:szCs w:val="32"/>
        </w:rPr>
        <w:t>本市其他旧区改造和城市更新有关文件和规定。</w:t>
      </w:r>
    </w:p>
    <w:p>
      <w:pPr>
        <w:pStyle w:val="6"/>
        <w:spacing w:line="364" w:lineRule="auto"/>
        <w:ind w:left="280" w:right="618" w:firstLine="602"/>
        <w:jc w:val="both"/>
      </w:pPr>
    </w:p>
    <w:sectPr>
      <w:pgSz w:w="11910" w:h="16840"/>
      <w:pgMar w:top="1380" w:right="1180" w:bottom="1420" w:left="1520" w:header="0" w:footer="111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3716020</wp:posOffset>
              </wp:positionH>
              <wp:positionV relativeFrom="page">
                <wp:posOffset>9925050</wp:posOffset>
              </wp:positionV>
              <wp:extent cx="127000" cy="152400"/>
              <wp:effectExtent l="0" t="0" r="0" b="0"/>
              <wp:wrapNone/>
              <wp:docPr id="83" name="文本框 1"/>
              <wp:cNvGraphicFramePr/>
              <a:graphic xmlns:a="http://schemas.openxmlformats.org/drawingml/2006/main">
                <a:graphicData uri="http://schemas.microsoft.com/office/word/2010/wordprocessingShape">
                  <wps:wsp>
                    <wps:cNvSpPr txBox="1"/>
                    <wps:spPr>
                      <a:xfrm>
                        <a:off x="0" y="0"/>
                        <a:ext cx="12700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2.6pt;margin-top:781.5pt;height:12pt;width:10pt;mso-position-horizontal-relative:page;mso-position-vertical-relative:page;z-index:-251657216;mso-width-relative:page;mso-height-relative:page;" filled="f" stroked="f" coordsize="21600,21600" o:gfxdata="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xnYaDZAAAADQEAAA8AAAAAAAAAAQAgAAAAIgAAAGRycy9kb3ducmV2LnhtbFBLAQIU&#10;ABQAAAAIAIdO4kAFTweRuQEAAHIDAAAOAAAAAAAAAAEAIAAAACgBAABkcnMvZTJvRG9jLnhtbFBL&#10;BQYAAAAABgAGAFkBAABT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mc:AlternateContent>
        <mc:Choice Requires="wps">
          <w:drawing>
            <wp:anchor distT="0" distB="0" distL="114300" distR="114300" simplePos="0" relativeHeight="251660288" behindDoc="1" locked="0" layoutInCell="1" allowOverlap="1">
              <wp:simplePos x="0" y="0"/>
              <wp:positionH relativeFrom="page">
                <wp:posOffset>3698240</wp:posOffset>
              </wp:positionH>
              <wp:positionV relativeFrom="page">
                <wp:posOffset>9771380</wp:posOffset>
              </wp:positionV>
              <wp:extent cx="167005" cy="173355"/>
              <wp:effectExtent l="0" t="0" r="0" b="0"/>
              <wp:wrapNone/>
              <wp:docPr id="84" name="文本框 2"/>
              <wp:cNvGraphicFramePr/>
              <a:graphic xmlns:a="http://schemas.openxmlformats.org/drawingml/2006/main">
                <a:graphicData uri="http://schemas.microsoft.com/office/word/2010/wordprocessingShape">
                  <wps:wsp>
                    <wps:cNvSpPr txBox="1"/>
                    <wps:spPr>
                      <a:xfrm>
                        <a:off x="0" y="0"/>
                        <a:ext cx="167005" cy="173355"/>
                      </a:xfrm>
                      <a:prstGeom prst="rect">
                        <a:avLst/>
                      </a:prstGeom>
                      <a:noFill/>
                      <a:ln>
                        <a:noFill/>
                      </a:ln>
                    </wps:spPr>
                    <wps:txbx>
                      <w:txbxContent>
                        <w:p>
                          <w:pPr>
                            <w:spacing w:before="46"/>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2pt;margin-top:769.4pt;height:13.65pt;width:13.15pt;mso-position-horizontal-relative:page;mso-position-vertical-relative:page;z-index:-251656192;mso-width-relative:page;mso-height-relative:page;" filled="f" stroked="f" coordsize="21600,21600" o:gfxdata="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PR/ZXaAAAADQEAAA8AAAAAAAAAAQAgAAAAIgAAAGRycy9kb3ducmV2LnhtbFBL&#10;AQIUABQAAAAIAIdO4kA433NmuwEAAHIDAAAOAAAAAAAAAAEAIAAAACkBAABkcnMvZTJvRG9jLnht&#10;bFBLBQYAAAAABgAGAFkBAABWBQAAAAA=&#10;">
              <v:fill on="f" focussize="0,0"/>
              <v:stroke on="f"/>
              <v:imagedata o:title=""/>
              <o:lock v:ext="edit" aspectratio="f"/>
              <v:textbox inset="0mm,0mm,0mm,0mm">
                <w:txbxContent>
                  <w:p>
                    <w:pPr>
                      <w:spacing w:before="46"/>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0DC47"/>
    <w:multiLevelType w:val="singleLevel"/>
    <w:tmpl w:val="84B0DC47"/>
    <w:lvl w:ilvl="0" w:tentative="0">
      <w:start w:val="1"/>
      <w:numFmt w:val="chineseCounting"/>
      <w:suff w:val="space"/>
      <w:lvlText w:val="第%1节"/>
      <w:lvlJc w:val="left"/>
      <w:rPr>
        <w:rFonts w:hint="eastAsia"/>
      </w:rPr>
    </w:lvl>
  </w:abstractNum>
  <w:abstractNum w:abstractNumId="1">
    <w:nsid w:val="ABB518D3"/>
    <w:multiLevelType w:val="singleLevel"/>
    <w:tmpl w:val="ABB518D3"/>
    <w:lvl w:ilvl="0" w:tentative="0">
      <w:start w:val="1"/>
      <w:numFmt w:val="chineseCounting"/>
      <w:suff w:val="space"/>
      <w:lvlText w:val="第%1节"/>
      <w:lvlJc w:val="left"/>
      <w:rPr>
        <w:rFonts w:hint="eastAsia"/>
      </w:rPr>
    </w:lvl>
  </w:abstractNum>
  <w:abstractNum w:abstractNumId="2">
    <w:nsid w:val="BA99816A"/>
    <w:multiLevelType w:val="singleLevel"/>
    <w:tmpl w:val="BA99816A"/>
    <w:lvl w:ilvl="0" w:tentative="0">
      <w:start w:val="1"/>
      <w:numFmt w:val="chineseCounting"/>
      <w:suff w:val="space"/>
      <w:lvlText w:val="第%1节"/>
      <w:lvlJc w:val="left"/>
      <w:rPr>
        <w:rFonts w:hint="eastAsia"/>
      </w:rPr>
    </w:lvl>
  </w:abstractNum>
  <w:abstractNum w:abstractNumId="3">
    <w:nsid w:val="C6C89A09"/>
    <w:multiLevelType w:val="singleLevel"/>
    <w:tmpl w:val="C6C89A09"/>
    <w:lvl w:ilvl="0" w:tentative="0">
      <w:start w:val="1"/>
      <w:numFmt w:val="chineseCounting"/>
      <w:suff w:val="space"/>
      <w:lvlText w:val="第%1节"/>
      <w:lvlJc w:val="left"/>
      <w:rPr>
        <w:rFonts w:hint="eastAsia" w:ascii="微软雅黑" w:hAnsi="微软雅黑" w:eastAsia="微软雅黑" w:cs="微软雅黑"/>
        <w:sz w:val="32"/>
        <w:szCs w:val="32"/>
      </w:rPr>
    </w:lvl>
  </w:abstractNum>
  <w:abstractNum w:abstractNumId="4">
    <w:nsid w:val="211B72AD"/>
    <w:multiLevelType w:val="singleLevel"/>
    <w:tmpl w:val="211B72AD"/>
    <w:lvl w:ilvl="0" w:tentative="0">
      <w:start w:val="1"/>
      <w:numFmt w:val="decimal"/>
      <w:suff w:val="nothing"/>
      <w:lvlText w:val="%1．"/>
      <w:lvlJc w:val="left"/>
      <w:pPr>
        <w:ind w:left="0" w:firstLine="400"/>
      </w:pPr>
      <w:rPr>
        <w:rFonts w:hint="default"/>
      </w:rPr>
    </w:lvl>
  </w:abstractNum>
  <w:abstractNum w:abstractNumId="5">
    <w:nsid w:val="2B80FD94"/>
    <w:multiLevelType w:val="singleLevel"/>
    <w:tmpl w:val="2B80FD94"/>
    <w:lvl w:ilvl="0" w:tentative="0">
      <w:start w:val="2"/>
      <w:numFmt w:val="chineseCounting"/>
      <w:suff w:val="space"/>
      <w:lvlText w:val="第%1节"/>
      <w:lvlJc w:val="left"/>
      <w:rPr>
        <w:rFonts w:hint="eastAsia"/>
      </w:rPr>
    </w:lvl>
  </w:abstractNum>
  <w:abstractNum w:abstractNumId="6">
    <w:nsid w:val="392225FA"/>
    <w:multiLevelType w:val="singleLevel"/>
    <w:tmpl w:val="392225FA"/>
    <w:lvl w:ilvl="0" w:tentative="0">
      <w:start w:val="1"/>
      <w:numFmt w:val="chineseCounting"/>
      <w:suff w:val="space"/>
      <w:lvlText w:val="第%1节"/>
      <w:lvlJc w:val="left"/>
      <w:rPr>
        <w:rFonts w:hint="eastAsia"/>
      </w:rPr>
    </w:lvl>
  </w:abstractNum>
  <w:abstractNum w:abstractNumId="7">
    <w:nsid w:val="4CECBAA9"/>
    <w:multiLevelType w:val="singleLevel"/>
    <w:tmpl w:val="4CECBAA9"/>
    <w:lvl w:ilvl="0" w:tentative="0">
      <w:start w:val="1"/>
      <w:numFmt w:val="decimal"/>
      <w:suff w:val="nothing"/>
      <w:lvlText w:val="%1．"/>
      <w:lvlJc w:val="left"/>
      <w:pPr>
        <w:ind w:left="0" w:firstLine="400"/>
      </w:pPr>
      <w:rPr>
        <w:rFonts w:hint="default"/>
      </w:rPr>
    </w:lvl>
  </w:abstractNum>
  <w:abstractNum w:abstractNumId="8">
    <w:nsid w:val="52D68E88"/>
    <w:multiLevelType w:val="singleLevel"/>
    <w:tmpl w:val="52D68E88"/>
    <w:lvl w:ilvl="0" w:tentative="0">
      <w:start w:val="1"/>
      <w:numFmt w:val="chineseCounting"/>
      <w:suff w:val="space"/>
      <w:lvlText w:val="第%1节"/>
      <w:lvlJc w:val="left"/>
      <w:pPr>
        <w:tabs>
          <w:tab w:val="left" w:pos="0"/>
        </w:tabs>
      </w:pPr>
      <w:rPr>
        <w:rFonts w:hint="eastAsia" w:ascii="微软雅黑" w:hAnsi="微软雅黑" w:eastAsia="微软雅黑" w:cs="微软雅黑"/>
        <w:sz w:val="32"/>
        <w:szCs w:val="32"/>
      </w:rPr>
    </w:lvl>
  </w:abstractNum>
  <w:num w:numId="1">
    <w:abstractNumId w:val="2"/>
  </w:num>
  <w:num w:numId="2">
    <w:abstractNumId w:val="3"/>
  </w:num>
  <w:num w:numId="3">
    <w:abstractNumId w:val="6"/>
  </w:num>
  <w:num w:numId="4">
    <w:abstractNumId w:val="5"/>
  </w:num>
  <w:num w:numId="5">
    <w:abstractNumId w:val="8"/>
  </w:num>
  <w:num w:numId="6">
    <w:abstractNumId w:val="0"/>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C48FF"/>
    <w:rsid w:val="01A44A48"/>
    <w:rsid w:val="04172F84"/>
    <w:rsid w:val="0D565363"/>
    <w:rsid w:val="252B676B"/>
    <w:rsid w:val="30096BF7"/>
    <w:rsid w:val="4F383E43"/>
    <w:rsid w:val="5ECB5094"/>
    <w:rsid w:val="739B3C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3">
    <w:name w:val="heading 1"/>
    <w:basedOn w:val="1"/>
    <w:next w:val="1"/>
    <w:qFormat/>
    <w:uiPriority w:val="1"/>
    <w:pPr>
      <w:ind w:right="338"/>
      <w:jc w:val="center"/>
      <w:outlineLvl w:val="1"/>
    </w:pPr>
    <w:rPr>
      <w:rFonts w:ascii="微软雅黑" w:hAnsi="微软雅黑" w:eastAsia="微软雅黑" w:cs="微软雅黑"/>
      <w:b/>
      <w:bCs/>
      <w:sz w:val="36"/>
      <w:szCs w:val="36"/>
      <w:lang w:val="zh-CN" w:eastAsia="zh-CN" w:bidi="zh-CN"/>
    </w:rPr>
  </w:style>
  <w:style w:type="paragraph" w:styleId="4">
    <w:name w:val="heading 2"/>
    <w:basedOn w:val="1"/>
    <w:next w:val="1"/>
    <w:qFormat/>
    <w:uiPriority w:val="1"/>
    <w:pPr>
      <w:ind w:right="336"/>
      <w:jc w:val="center"/>
      <w:outlineLvl w:val="2"/>
    </w:pPr>
    <w:rPr>
      <w:rFonts w:ascii="微软雅黑" w:hAnsi="微软雅黑" w:eastAsia="微软雅黑" w:cs="微软雅黑"/>
      <w:b/>
      <w:bCs/>
      <w:sz w:val="32"/>
      <w:szCs w:val="32"/>
      <w:lang w:val="zh-CN" w:eastAsia="zh-CN" w:bidi="zh-CN"/>
    </w:rPr>
  </w:style>
  <w:style w:type="paragraph" w:styleId="5">
    <w:name w:val="heading 3"/>
    <w:basedOn w:val="1"/>
    <w:next w:val="1"/>
    <w:qFormat/>
    <w:uiPriority w:val="1"/>
    <w:pPr>
      <w:ind w:right="340"/>
      <w:jc w:val="center"/>
      <w:outlineLvl w:val="3"/>
    </w:pPr>
    <w:rPr>
      <w:rFonts w:ascii="宋体" w:hAnsi="宋体" w:eastAsia="宋体" w:cs="宋体"/>
      <w:sz w:val="32"/>
      <w:szCs w:val="32"/>
      <w:lang w:val="zh-CN" w:eastAsia="zh-CN" w:bidi="zh-CN"/>
    </w:rPr>
  </w:style>
  <w:style w:type="character" w:default="1" w:styleId="14">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Body Text"/>
    <w:basedOn w:val="1"/>
    <w:qFormat/>
    <w:uiPriority w:val="1"/>
    <w:rPr>
      <w:rFonts w:ascii="仿宋_GB2312" w:hAnsi="仿宋_GB2312" w:eastAsia="仿宋_GB2312" w:cs="仿宋_GB2312"/>
      <w:sz w:val="30"/>
      <w:szCs w:val="30"/>
      <w:lang w:val="zh-CN" w:eastAsia="zh-CN" w:bidi="zh-CN"/>
    </w:rPr>
  </w:style>
  <w:style w:type="paragraph" w:styleId="7">
    <w:name w:val="toc 3"/>
    <w:basedOn w:val="1"/>
    <w:next w:val="1"/>
    <w:qFormat/>
    <w:uiPriority w:val="1"/>
    <w:pPr>
      <w:spacing w:before="316"/>
      <w:ind w:left="393"/>
    </w:pPr>
    <w:rPr>
      <w:rFonts w:ascii="宋体" w:hAnsi="宋体" w:eastAsia="宋体" w:cs="宋体"/>
      <w:sz w:val="24"/>
      <w:szCs w:val="24"/>
      <w:lang w:val="zh-CN" w:eastAsia="zh-CN" w:bidi="zh-CN"/>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80"/>
      <w:ind w:right="335"/>
      <w:jc w:val="center"/>
    </w:pPr>
    <w:rPr>
      <w:rFonts w:ascii="微软雅黑" w:hAnsi="微软雅黑" w:eastAsia="微软雅黑" w:cs="微软雅黑"/>
      <w:b/>
      <w:bCs/>
      <w:sz w:val="24"/>
      <w:szCs w:val="24"/>
      <w:lang w:val="zh-CN" w:eastAsia="zh-CN" w:bidi="zh-CN"/>
    </w:rPr>
  </w:style>
  <w:style w:type="paragraph" w:styleId="11">
    <w:name w:val="toc 4"/>
    <w:basedOn w:val="1"/>
    <w:next w:val="1"/>
    <w:qFormat/>
    <w:uiPriority w:val="1"/>
    <w:pPr>
      <w:spacing w:before="316"/>
      <w:ind w:left="393"/>
    </w:pPr>
    <w:rPr>
      <w:rFonts w:ascii="宋体" w:hAnsi="宋体" w:eastAsia="宋体" w:cs="宋体"/>
      <w:b/>
      <w:bCs/>
      <w:i/>
      <w:lang w:val="zh-CN" w:eastAsia="zh-CN" w:bidi="zh-CN"/>
    </w:rPr>
  </w:style>
  <w:style w:type="paragraph" w:styleId="12">
    <w:name w:val="toc 2"/>
    <w:basedOn w:val="1"/>
    <w:next w:val="1"/>
    <w:qFormat/>
    <w:uiPriority w:val="1"/>
    <w:pPr>
      <w:spacing w:before="360"/>
      <w:ind w:left="182"/>
    </w:pPr>
    <w:rPr>
      <w:rFonts w:ascii="微软雅黑" w:hAnsi="微软雅黑" w:eastAsia="微软雅黑" w:cs="微软雅黑"/>
      <w:b/>
      <w:bCs/>
      <w:sz w:val="24"/>
      <w:szCs w:val="24"/>
      <w:lang w:val="zh-CN" w:eastAsia="zh-CN" w:bidi="zh-CN"/>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1"/>
    <w:pPr>
      <w:ind w:left="182" w:right="508" w:firstLine="602"/>
      <w:jc w:val="both"/>
    </w:pPr>
    <w:rPr>
      <w:rFonts w:ascii="仿宋_GB2312" w:hAnsi="仿宋_GB2312" w:eastAsia="仿宋_GB2312" w:cs="仿宋_GB2312"/>
      <w:lang w:val="zh-CN" w:eastAsia="zh-CN" w:bidi="zh-CN"/>
    </w:rPr>
  </w:style>
  <w:style w:type="paragraph" w:customStyle="1" w:styleId="1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ScaleCrop>false</ScaleCrop>
  <LinksUpToDate>false</LinksUpToDate>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2021-05-18T02:10:00Z</dcterms:created>
  <dc:creator>微软用户</dc:creator>
  <cp:lastModifiedBy>Aphro</cp:lastModifiedBy>
  <dcterms:modified xsi:type="dcterms:W3CDTF">2021-12-10T09:34:44Z</dcterms:modified>
  <dc:title>第一章</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2019-11-18T00:00:00Z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KSOProductBuildVer">
    <vt:lpwstr>2052-11.1.0.11115</vt:lpwstr>
  </property>
  <property fmtid="{D5CDD505-2E9C-101B-9397-08002B2CF9AE}" pid="6" name="ICV">
    <vt:lpwstr>B5B647AA575A46079B1F8E1E3625C8F7</vt:lpwstr>
  </property>
</Properties>
</file>