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line="560" w:lineRule="exact"/>
        <w:jc w:val="center"/>
        <w:rPr>
          <w:rFonts w:ascii="仿宋_GB2312" w:eastAsia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eastAsia="仿宋_GB2312" w:cs="仿宋_GB2312"/>
          <w:sz w:val="32"/>
          <w:szCs w:val="32"/>
        </w:rPr>
        <w:t>历下政办字〔</w:t>
      </w:r>
      <w:r>
        <w:rPr>
          <w:rFonts w:ascii="仿宋_GB2312" w:eastAsia="仿宋_GB2312" w:cs="仿宋_GB2312"/>
          <w:sz w:val="32"/>
          <w:szCs w:val="32"/>
        </w:rPr>
        <w:t>20</w:t>
      </w:r>
      <w:r>
        <w:rPr>
          <w:rFonts w:hint="eastAsia" w:ascii="仿宋_GB2312" w:eastAsia="仿宋_GB2312" w:cs="仿宋_GB2312"/>
          <w:sz w:val="32"/>
          <w:szCs w:val="32"/>
        </w:rPr>
        <w:t>23〕1号</w:t>
      </w:r>
    </w:p>
    <w:p>
      <w:pPr>
        <w:spacing w:line="560" w:lineRule="exact"/>
        <w:ind w:firstLine="420" w:firstLineChars="200"/>
        <w:rPr>
          <w:rFonts w:ascii="仿宋_GB2312" w:eastAsia="仿宋_GB2312"/>
        </w:rPr>
      </w:pPr>
    </w:p>
    <w:p>
      <w:pPr>
        <w:widowControl/>
        <w:shd w:val="clear" w:color="auto" w:fill="FFFFFF"/>
        <w:spacing w:line="560" w:lineRule="exact"/>
        <w:jc w:val="center"/>
        <w:outlineLvl w:val="0"/>
        <w:rPr>
          <w:rFonts w:ascii="方正小标宋简体" w:hAnsi="宋体" w:eastAsia="方正小标宋简体" w:cs="宋体"/>
          <w:bCs/>
          <w:kern w:val="36"/>
          <w:sz w:val="44"/>
          <w:szCs w:val="44"/>
        </w:rPr>
      </w:pPr>
      <w:r>
        <w:rPr>
          <w:rFonts w:hint="eastAsia" w:ascii="方正小标宋简体" w:hAnsi="宋体" w:eastAsia="方正小标宋简体" w:cs="宋体"/>
          <w:bCs/>
          <w:kern w:val="36"/>
          <w:sz w:val="44"/>
          <w:szCs w:val="44"/>
        </w:rPr>
        <w:t>济南市历下区人民政府办公室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-2"/>
          <w:sz w:val="44"/>
          <w:szCs w:val="44"/>
        </w:rPr>
        <w:t>关于印发2023年《济南市历下区政府工作报告》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目标任务分解的通知</w:t>
      </w:r>
    </w:p>
    <w:p>
      <w:pPr>
        <w:spacing w:line="560" w:lineRule="exact"/>
        <w:ind w:firstLine="640" w:firstLineChars="200"/>
        <w:rPr>
          <w:sz w:val="32"/>
          <w:szCs w:val="36"/>
        </w:rPr>
      </w:pPr>
    </w:p>
    <w:p>
      <w:pPr>
        <w:widowControl/>
        <w:shd w:val="clear" w:color="auto" w:fill="FFFFFF"/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各街道办事处，区政府各部门（单位）：</w:t>
      </w:r>
    </w:p>
    <w:p>
      <w:pPr>
        <w:widowControl/>
        <w:shd w:val="clear" w:color="auto" w:fill="FFFFFF"/>
        <w:spacing w:line="560" w:lineRule="exact"/>
        <w:ind w:firstLine="640" w:firstLineChars="200"/>
        <w:rPr>
          <w:rFonts w:ascii="仿宋_GB2312" w:hAnsi="微软雅黑" w:eastAsia="仿宋_GB2312" w:cs="宋体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经区政府研究，确定了2023年《济南市历下区政府工作报告》目标任务分解，现印发给你们，请抓好贯彻落实。</w:t>
      </w:r>
    </w:p>
    <w:p>
      <w:pPr>
        <w:widowControl/>
        <w:shd w:val="clear" w:color="auto" w:fill="FFFFFF"/>
        <w:spacing w:line="560" w:lineRule="exact"/>
        <w:rPr>
          <w:rFonts w:ascii="仿宋_GB2312" w:hAnsi="微软雅黑" w:eastAsia="仿宋_GB2312" w:cs="宋体"/>
          <w:kern w:val="0"/>
          <w:sz w:val="32"/>
          <w:szCs w:val="32"/>
        </w:rPr>
      </w:pPr>
    </w:p>
    <w:p>
      <w:pPr>
        <w:widowControl/>
        <w:shd w:val="clear" w:color="auto" w:fill="FFFFFF"/>
        <w:spacing w:line="560" w:lineRule="exact"/>
        <w:rPr>
          <w:rFonts w:ascii="仿宋_GB2312" w:hAnsi="微软雅黑" w:eastAsia="仿宋_GB2312" w:cs="宋体"/>
          <w:kern w:val="0"/>
          <w:sz w:val="32"/>
          <w:szCs w:val="32"/>
        </w:rPr>
      </w:pPr>
    </w:p>
    <w:p>
      <w:pPr>
        <w:widowControl/>
        <w:shd w:val="clear" w:color="auto" w:fill="FFFFFF"/>
        <w:spacing w:line="560" w:lineRule="exact"/>
        <w:ind w:firstLine="4160" w:firstLineChars="1300"/>
        <w:rPr>
          <w:rFonts w:ascii="仿宋_GB2312" w:hAnsi="微软雅黑" w:eastAsia="仿宋_GB2312" w:cs="宋体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kern w:val="0"/>
          <w:sz w:val="32"/>
          <w:szCs w:val="32"/>
        </w:rPr>
        <w:t>济南市历下区人民政府办公室</w:t>
      </w:r>
    </w:p>
    <w:p>
      <w:pPr>
        <w:widowControl/>
        <w:shd w:val="clear" w:color="auto" w:fill="FFFFFF"/>
        <w:spacing w:line="560" w:lineRule="exact"/>
        <w:ind w:firstLine="5120" w:firstLineChars="1600"/>
        <w:rPr>
          <w:rFonts w:ascii="仿宋_GB2312" w:hAnsi="微软雅黑" w:eastAsia="仿宋_GB2312" w:cs="宋体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kern w:val="0"/>
          <w:sz w:val="32"/>
          <w:szCs w:val="32"/>
        </w:rPr>
        <w:t>2023年2月1日</w:t>
      </w:r>
    </w:p>
    <w:p>
      <w:pPr>
        <w:widowControl/>
        <w:spacing w:line="560" w:lineRule="exact"/>
        <w:ind w:firstLine="640" w:firstLineChars="200"/>
        <w:jc w:val="left"/>
        <w:rPr>
          <w:rFonts w:ascii="仿宋_GB2312" w:hAnsi="微软雅黑" w:eastAsia="仿宋_GB2312" w:cs="宋体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kern w:val="0"/>
          <w:sz w:val="32"/>
          <w:szCs w:val="32"/>
        </w:rPr>
        <w:t>（此件公开发布）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pStyle w:val="12"/>
        <w:shd w:val="clear" w:color="auto" w:fill="FFFFFF"/>
        <w:adjustRightInd w:val="0"/>
        <w:snapToGrid w:val="0"/>
        <w:spacing w:before="0" w:beforeAutospacing="0" w:after="0" w:afterAutospacing="0" w:line="560" w:lineRule="exact"/>
        <w:ind w:firstLine="640" w:firstLineChars="200"/>
        <w:jc w:val="both"/>
        <w:rPr>
          <w:rStyle w:val="18"/>
          <w:rFonts w:ascii="仿宋_GB2312" w:hAnsi="仿宋" w:eastAsia="仿宋_GB2312"/>
          <w:b w:val="0"/>
          <w:sz w:val="32"/>
          <w:szCs w:val="32"/>
        </w:rPr>
      </w:pPr>
    </w:p>
    <w:p>
      <w:pPr>
        <w:pStyle w:val="12"/>
        <w:shd w:val="clear" w:color="auto" w:fill="FFFFFF"/>
        <w:adjustRightInd w:val="0"/>
        <w:snapToGrid w:val="0"/>
        <w:spacing w:before="0" w:beforeAutospacing="0" w:after="0" w:afterAutospacing="0" w:line="560" w:lineRule="exact"/>
        <w:ind w:firstLine="640" w:firstLineChars="200"/>
        <w:jc w:val="both"/>
        <w:rPr>
          <w:rFonts w:ascii="仿宋_GB2312" w:hAnsi="仿宋" w:eastAsia="仿宋_GB2312"/>
          <w:sz w:val="32"/>
          <w:szCs w:val="32"/>
        </w:rPr>
      </w:pPr>
    </w:p>
    <w:p>
      <w:pPr>
        <w:pStyle w:val="12"/>
        <w:shd w:val="clear" w:color="auto" w:fill="FFFFFF"/>
        <w:adjustRightInd w:val="0"/>
        <w:snapToGrid w:val="0"/>
        <w:spacing w:before="0" w:beforeAutospacing="0" w:after="0" w:afterAutospacing="0" w:line="560" w:lineRule="exact"/>
        <w:ind w:firstLine="640" w:firstLineChars="200"/>
        <w:jc w:val="both"/>
        <w:rPr>
          <w:rFonts w:ascii="仿宋_GB2312" w:hAnsi="仿宋" w:eastAsia="仿宋_GB2312"/>
          <w:sz w:val="32"/>
          <w:szCs w:val="32"/>
        </w:rPr>
      </w:pPr>
    </w:p>
    <w:p>
      <w:pPr>
        <w:pStyle w:val="12"/>
        <w:shd w:val="clear" w:color="auto" w:fill="FFFFFF"/>
        <w:adjustRightInd w:val="0"/>
        <w:snapToGrid w:val="0"/>
        <w:spacing w:before="0" w:beforeAutospacing="0" w:after="0" w:afterAutospacing="0" w:line="560" w:lineRule="exact"/>
        <w:ind w:firstLine="640" w:firstLineChars="200"/>
        <w:jc w:val="both"/>
        <w:rPr>
          <w:rFonts w:ascii="仿宋_GB2312" w:hAnsi="仿宋" w:eastAsia="仿宋_GB2312"/>
          <w:sz w:val="32"/>
          <w:szCs w:val="32"/>
        </w:rPr>
      </w:pPr>
    </w:p>
    <w:p>
      <w:pPr>
        <w:pStyle w:val="12"/>
        <w:shd w:val="clear" w:color="auto" w:fill="FFFFFF"/>
        <w:adjustRightInd w:val="0"/>
        <w:snapToGrid w:val="0"/>
        <w:spacing w:before="0" w:beforeAutospacing="0" w:after="0" w:afterAutospacing="0" w:line="560" w:lineRule="exact"/>
        <w:ind w:firstLine="640" w:firstLineChars="200"/>
        <w:jc w:val="both"/>
        <w:rPr>
          <w:rFonts w:ascii="仿宋_GB2312" w:hAnsi="仿宋" w:eastAsia="仿宋_GB2312"/>
          <w:sz w:val="32"/>
          <w:szCs w:val="32"/>
        </w:rPr>
      </w:pPr>
    </w:p>
    <w:p>
      <w:pPr>
        <w:pStyle w:val="12"/>
        <w:shd w:val="clear" w:color="auto" w:fill="FFFFFF"/>
        <w:adjustRightInd w:val="0"/>
        <w:snapToGrid w:val="0"/>
        <w:spacing w:before="0" w:beforeAutospacing="0" w:after="0" w:afterAutospacing="0" w:line="560" w:lineRule="exact"/>
        <w:ind w:firstLine="640" w:firstLineChars="200"/>
        <w:jc w:val="both"/>
        <w:rPr>
          <w:rFonts w:ascii="仿宋_GB2312" w:hAnsi="仿宋" w:eastAsia="仿宋_GB2312"/>
          <w:sz w:val="32"/>
          <w:szCs w:val="32"/>
        </w:rPr>
      </w:pPr>
    </w:p>
    <w:p>
      <w:pPr>
        <w:pStyle w:val="12"/>
        <w:shd w:val="clear" w:color="auto" w:fill="FFFFFF"/>
        <w:adjustRightInd w:val="0"/>
        <w:snapToGrid w:val="0"/>
        <w:spacing w:before="0" w:beforeAutospacing="0" w:after="0" w:afterAutospacing="0" w:line="560" w:lineRule="exact"/>
        <w:ind w:firstLine="640" w:firstLineChars="200"/>
        <w:jc w:val="both"/>
        <w:rPr>
          <w:rFonts w:ascii="仿宋_GB2312" w:hAnsi="仿宋" w:eastAsia="仿宋_GB2312"/>
          <w:sz w:val="32"/>
          <w:szCs w:val="32"/>
        </w:rPr>
      </w:pP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2023年《济南市历下区政府工作报告》</w:t>
      </w:r>
    </w:p>
    <w:p>
      <w:pPr>
        <w:spacing w:line="560" w:lineRule="exact"/>
        <w:jc w:val="center"/>
        <w:rPr>
          <w:rFonts w:ascii="楷体_GB2312" w:hAnsi="方正小标宋简体" w:eastAsia="楷体_GB2312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目标任务分解</w:t>
      </w:r>
    </w:p>
    <w:p>
      <w:pPr>
        <w:spacing w:after="156" w:afterLines="50" w:line="560" w:lineRule="exact"/>
        <w:jc w:val="center"/>
        <w:rPr>
          <w:rFonts w:ascii="楷体_GB2312" w:hAnsi="方正小标宋简体" w:eastAsia="楷体_GB2312" w:cs="方正小标宋简体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今年是全面贯彻落实党的二十大精神的开局之年，也是实施十四五发展规划承上启下的关键之年，更是推进国际化一流中心城区建设全面起势的突破之年，做好今年各项工作至关重要、意义深远。当前，疫情影响依然存在，外部环境仍然复杂多变，推动经济社会高质量发展的</w:t>
      </w:r>
      <w:r>
        <w:rPr>
          <w:rFonts w:ascii="仿宋_GB2312" w:eastAsia="仿宋_GB2312"/>
          <w:sz w:val="32"/>
          <w:szCs w:val="32"/>
        </w:rPr>
        <w:t>不确定性上升，</w:t>
      </w:r>
      <w:r>
        <w:rPr>
          <w:rFonts w:hint="eastAsia" w:ascii="仿宋_GB2312" w:eastAsia="仿宋_GB2312"/>
          <w:sz w:val="32"/>
          <w:szCs w:val="32"/>
        </w:rPr>
        <w:t>激发市场活力还需更多</w:t>
      </w:r>
      <w:r>
        <w:rPr>
          <w:rFonts w:ascii="仿宋_GB2312" w:eastAsia="仿宋_GB2312"/>
          <w:sz w:val="32"/>
          <w:szCs w:val="32"/>
        </w:rPr>
        <w:t>有力举措，统筹发展与安全还面临诸多挑战，</w:t>
      </w:r>
      <w:r>
        <w:rPr>
          <w:rFonts w:hint="eastAsia" w:ascii="仿宋_GB2312" w:eastAsia="仿宋_GB2312"/>
          <w:sz w:val="32"/>
          <w:szCs w:val="32"/>
        </w:rPr>
        <w:t>各项重点任务多线推进仍是我们工作的常态。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担当是永不过时的时代标签，实干是永不磨灭的奋斗底色。</w:t>
      </w:r>
      <w:r>
        <w:rPr>
          <w:rFonts w:hint="eastAsia" w:ascii="仿宋_GB2312" w:eastAsia="仿宋_GB2312"/>
          <w:sz w:val="32"/>
          <w:szCs w:val="32"/>
        </w:rPr>
        <w:t>越是面对复杂严峻、压力重重的困难局面，我们越要坚定信心、咬紧牙关，始终保持定力，集中精力办好自己的事；越是面对你追我赶、争先进位的竞争态势，我们越要拉高标杆、唯旗是夺，始终勇争一流，真正体现中心城区的引领带动作用；越是面对重负千钧、多线作战的发展任务，我们越要开拓创新、统筹兼顾，始终昂扬奋发，推动高质量跨越式发展大步向前。我们更要看到，今天的历下，多重重大战略机遇交汇叠加，在强省会建设中领先领跑的优势持续巩固，广大党员干部敢打硬仗、能打胜仗，社会各界连成一条心、拧成一股绳，“天时地利人和”兼备，历下的明天大有可为，我们也必将</w:t>
      </w:r>
      <w:r>
        <w:rPr>
          <w:rFonts w:ascii="仿宋_GB2312" w:eastAsia="仿宋_GB2312"/>
          <w:sz w:val="32"/>
          <w:szCs w:val="32"/>
        </w:rPr>
        <w:t>创造更多</w:t>
      </w:r>
      <w:r>
        <w:rPr>
          <w:rFonts w:hint="eastAsia" w:ascii="仿宋_GB2312" w:eastAsia="仿宋_GB2312"/>
          <w:sz w:val="32"/>
          <w:szCs w:val="32"/>
        </w:rPr>
        <w:t>“</w:t>
      </w:r>
      <w:r>
        <w:rPr>
          <w:rFonts w:ascii="仿宋_GB2312" w:eastAsia="仿宋_GB2312"/>
          <w:sz w:val="32"/>
          <w:szCs w:val="32"/>
        </w:rPr>
        <w:t>惊涛骇浪从容渡</w:t>
      </w:r>
      <w:r>
        <w:rPr>
          <w:rFonts w:hint="eastAsia" w:ascii="仿宋_GB2312" w:eastAsia="仿宋_GB2312"/>
          <w:sz w:val="32"/>
          <w:szCs w:val="32"/>
        </w:rPr>
        <w:t>”</w:t>
      </w:r>
      <w:r>
        <w:rPr>
          <w:rFonts w:ascii="仿宋_GB2312" w:eastAsia="仿宋_GB2312"/>
          <w:sz w:val="32"/>
          <w:szCs w:val="32"/>
        </w:rPr>
        <w:t>的奋斗成果，书写更多</w:t>
      </w:r>
      <w:r>
        <w:rPr>
          <w:rFonts w:hint="eastAsia" w:ascii="仿宋_GB2312" w:eastAsia="仿宋_GB2312"/>
          <w:sz w:val="32"/>
          <w:szCs w:val="32"/>
        </w:rPr>
        <w:t>“</w:t>
      </w:r>
      <w:r>
        <w:rPr>
          <w:rFonts w:ascii="仿宋_GB2312" w:eastAsia="仿宋_GB2312"/>
          <w:sz w:val="32"/>
          <w:szCs w:val="32"/>
        </w:rPr>
        <w:t>越是艰险越向前</w:t>
      </w:r>
      <w:r>
        <w:rPr>
          <w:rFonts w:hint="eastAsia" w:ascii="仿宋_GB2312" w:eastAsia="仿宋_GB2312"/>
          <w:sz w:val="32"/>
          <w:szCs w:val="32"/>
        </w:rPr>
        <w:t>”</w:t>
      </w:r>
      <w:r>
        <w:rPr>
          <w:rFonts w:ascii="仿宋_GB2312" w:eastAsia="仿宋_GB2312"/>
          <w:sz w:val="32"/>
          <w:szCs w:val="32"/>
        </w:rPr>
        <w:t>的精彩篇章。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2023年全区经济社会发展的总体要求是：</w:t>
      </w:r>
      <w:r>
        <w:rPr>
          <w:rFonts w:hint="eastAsia" w:ascii="黑体" w:hAnsi="黑体" w:eastAsia="黑体" w:cs="黑体"/>
          <w:sz w:val="32"/>
          <w:szCs w:val="32"/>
        </w:rPr>
        <w:t>高举习近平新时代中国特色社会主义思想伟大旗帜，完整、准确、全面贯彻党的二十大精神，抢抓落实黄河国家战略、绿色低碳高质量发展先行区建设、科创金融改革试验区建设等重大历史机遇，以更大的力度、更新的举措、更实的作风推动城市更新、项目建设、招商服务等重点工作创新发展，加快构建“一轴三区多园”城市发展新格局，不断开创国际化一流中心城区建设新局面，为新时代社会主义现代化强省会建设贡献更大力量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今年经济社会发展主要预期目标是：地区生产总值增长6%，</w:t>
      </w:r>
      <w:r>
        <w:rPr>
          <w:rFonts w:hint="eastAsia" w:ascii="楷体_GB2312" w:hAnsi="楷体_GB2312" w:eastAsia="楷体_GB2312" w:cs="楷体_GB2312"/>
          <w:sz w:val="32"/>
          <w:szCs w:val="32"/>
        </w:rPr>
        <w:t>（牵头领导：武毅；责任单位：区发展和改革局）</w:t>
      </w:r>
      <w:r>
        <w:rPr>
          <w:rFonts w:hint="eastAsia" w:ascii="仿宋_GB2312" w:eastAsia="仿宋_GB2312"/>
          <w:sz w:val="32"/>
          <w:szCs w:val="32"/>
        </w:rPr>
        <w:t>一般公共预算收入增长17%左右，</w:t>
      </w:r>
      <w:r>
        <w:rPr>
          <w:rFonts w:hint="eastAsia" w:ascii="楷体_GB2312" w:hAnsi="楷体_GB2312" w:eastAsia="楷体_GB2312" w:cs="楷体_GB2312"/>
          <w:sz w:val="32"/>
          <w:szCs w:val="32"/>
        </w:rPr>
        <w:t>（牵头领导：武毅；责任单位：区财政局）</w:t>
      </w:r>
      <w:r>
        <w:rPr>
          <w:rFonts w:hint="eastAsia" w:ascii="仿宋_GB2312" w:eastAsia="仿宋_GB2312"/>
          <w:sz w:val="32"/>
          <w:szCs w:val="32"/>
        </w:rPr>
        <w:t>固定资产投资增长7%左右；</w:t>
      </w:r>
      <w:r>
        <w:rPr>
          <w:rFonts w:hint="eastAsia" w:ascii="楷体_GB2312" w:hAnsi="楷体_GB2312" w:eastAsia="楷体_GB2312" w:cs="楷体_GB2312"/>
          <w:sz w:val="32"/>
          <w:szCs w:val="32"/>
        </w:rPr>
        <w:t>（牵头领导：武毅；责任单位：区发展和改革局）</w:t>
      </w:r>
      <w:r>
        <w:rPr>
          <w:rFonts w:hint="eastAsia" w:ascii="仿宋_GB2312" w:eastAsia="仿宋_GB2312"/>
          <w:sz w:val="32"/>
          <w:szCs w:val="32"/>
        </w:rPr>
        <w:t>规模以上工业增加值增长7%左右，</w:t>
      </w:r>
      <w:r>
        <w:rPr>
          <w:rFonts w:hint="eastAsia" w:ascii="楷体_GB2312" w:hAnsi="楷体_GB2312" w:eastAsia="楷体_GB2312" w:cs="楷体_GB2312"/>
          <w:sz w:val="32"/>
          <w:szCs w:val="32"/>
        </w:rPr>
        <w:t>（牵头领导：武毅；责任单位：区工业和信息化局）</w:t>
      </w:r>
      <w:r>
        <w:rPr>
          <w:rFonts w:hint="eastAsia" w:ascii="仿宋_GB2312" w:eastAsia="仿宋_GB2312"/>
          <w:sz w:val="32"/>
          <w:szCs w:val="32"/>
        </w:rPr>
        <w:t>社会消费品零售总额增长5.7%，</w:t>
      </w:r>
      <w:r>
        <w:rPr>
          <w:rFonts w:hint="eastAsia" w:ascii="楷体_GB2312" w:hAnsi="楷体_GB2312" w:eastAsia="楷体_GB2312" w:cs="楷体_GB2312"/>
          <w:sz w:val="32"/>
          <w:szCs w:val="32"/>
        </w:rPr>
        <w:t>（牵头领导：洪露；责任单位：区商务局）</w:t>
      </w:r>
      <w:r>
        <w:rPr>
          <w:rFonts w:hint="eastAsia" w:ascii="仿宋_GB2312" w:eastAsia="仿宋_GB2312"/>
          <w:sz w:val="32"/>
          <w:szCs w:val="32"/>
        </w:rPr>
        <w:t>实际使用外资增长3%，</w:t>
      </w:r>
      <w:r>
        <w:rPr>
          <w:rFonts w:hint="eastAsia" w:ascii="楷体_GB2312" w:hAnsi="楷体_GB2312" w:eastAsia="楷体_GB2312" w:cs="楷体_GB2312"/>
          <w:sz w:val="32"/>
          <w:szCs w:val="32"/>
        </w:rPr>
        <w:t>（牵头领导：洪露；责任单位：区投资促进局）</w:t>
      </w:r>
      <w:r>
        <w:rPr>
          <w:rFonts w:hint="eastAsia" w:ascii="仿宋_GB2312" w:eastAsia="仿宋_GB2312"/>
          <w:sz w:val="32"/>
          <w:szCs w:val="32"/>
        </w:rPr>
        <w:t>城镇居民人均可支配收入增长5.5%左右，</w:t>
      </w:r>
      <w:r>
        <w:rPr>
          <w:rFonts w:hint="eastAsia" w:ascii="楷体_GB2312" w:hAnsi="楷体_GB2312" w:eastAsia="楷体_GB2312" w:cs="楷体_GB2312"/>
          <w:sz w:val="32"/>
          <w:szCs w:val="32"/>
        </w:rPr>
        <w:t>（牵头领导：武毅；责任单位：区发展和改革局）</w:t>
      </w:r>
      <w:r>
        <w:rPr>
          <w:rFonts w:hint="eastAsia" w:ascii="仿宋_GB2312" w:eastAsia="仿宋_GB2312"/>
          <w:sz w:val="32"/>
          <w:szCs w:val="32"/>
        </w:rPr>
        <w:t>新增城镇就业3.71万人。</w:t>
      </w:r>
      <w:r>
        <w:rPr>
          <w:rFonts w:hint="eastAsia" w:ascii="楷体_GB2312" w:hAnsi="楷体_GB2312" w:eastAsia="楷体_GB2312" w:cs="楷体_GB2312"/>
          <w:sz w:val="32"/>
          <w:szCs w:val="32"/>
        </w:rPr>
        <w:t>（牵头领导：王若曦；责任单位：区人力资源和社会保障局）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围绕实现上述目标，我们将重点抓好六个统筹：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（一）统筹高质量发展和安全稳定，持续筑牢领先领跑基础。</w:t>
      </w:r>
      <w:r>
        <w:rPr>
          <w:rFonts w:hint="eastAsia" w:ascii="仿宋_GB2312" w:hAnsi="Times New Roman" w:eastAsia="仿宋_GB2312" w:cs="Times New Roman"/>
          <w:sz w:val="32"/>
          <w:szCs w:val="32"/>
        </w:rPr>
        <w:t>坚持稳中求进工作总基调，完整、准确、全面贯彻新发展理念，更好统筹发展和安全，推动经济运行持续向好，努力实现质的有效提升和量的合理增长。</w:t>
      </w:r>
    </w:p>
    <w:p>
      <w:pPr>
        <w:spacing w:line="560" w:lineRule="exact"/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全力以赴做好稳企惠企、稳定就业。</w:t>
      </w:r>
      <w:r>
        <w:rPr>
          <w:rFonts w:hint="eastAsia" w:ascii="仿宋_GB2312" w:hAnsi="仿宋_GB2312" w:eastAsia="仿宋_GB2312" w:cs="仿宋_GB2312"/>
          <w:sz w:val="32"/>
          <w:szCs w:val="32"/>
        </w:rPr>
        <w:t>持续深化重点企业包挂联系和问题解决机制，关心关注中小企业发展，分类制定支持措施，切实解决企业用工、供销、融资等实际问题，抓好各项纾困政策落实，助力企业良性发展。</w:t>
      </w:r>
      <w:r>
        <w:rPr>
          <w:rFonts w:hint="eastAsia" w:ascii="楷体_GB2312" w:hAnsi="楷体_GB2312" w:eastAsia="楷体_GB2312" w:cs="楷体_GB2312"/>
          <w:sz w:val="32"/>
          <w:szCs w:val="32"/>
        </w:rPr>
        <w:t>（牵头领导：武毅；牵头单位：区发展和改革局；责任单位：区商务局、区工业和信息化局、区行政审批服务局、区市场监督管理局、区地方金融监督管理局、区人力资源和社会保障局、区住房和城市建设局）</w:t>
      </w:r>
      <w:r>
        <w:rPr>
          <w:rFonts w:hint="eastAsia" w:ascii="仿宋_GB2312" w:hAnsi="仿宋_GB2312" w:eastAsia="仿宋_GB2312" w:cs="仿宋_GB2312"/>
          <w:sz w:val="32"/>
          <w:szCs w:val="32"/>
        </w:rPr>
        <w:t>落实落细就业优先政策，引导中小微企业开发新业态、创造新岗位，不断扩大就业“蓄水池”；</w:t>
      </w:r>
      <w:r>
        <w:rPr>
          <w:rFonts w:hint="eastAsia" w:ascii="楷体_GB2312" w:hAnsi="楷体_GB2312" w:eastAsia="楷体_GB2312" w:cs="楷体_GB2312"/>
          <w:sz w:val="32"/>
          <w:szCs w:val="32"/>
        </w:rPr>
        <w:t>（牵头领导：王若曦；责任单位：区人力资源和社会保障局）</w:t>
      </w:r>
      <w:r>
        <w:rPr>
          <w:rFonts w:hint="eastAsia" w:ascii="仿宋_GB2312" w:hAnsi="仿宋_GB2312" w:eastAsia="仿宋_GB2312" w:cs="仿宋_GB2312"/>
          <w:sz w:val="32"/>
          <w:szCs w:val="32"/>
        </w:rPr>
        <w:t>坚持以创业带动就业，抓好担保贷款、创业补贴政策落实，让想创业、敢创新、能创造的奋进者各展其才、尽显身手；</w:t>
      </w:r>
      <w:r>
        <w:rPr>
          <w:rFonts w:hint="eastAsia" w:ascii="楷体_GB2312" w:hAnsi="楷体_GB2312" w:eastAsia="楷体_GB2312" w:cs="楷体_GB2312"/>
          <w:sz w:val="32"/>
          <w:szCs w:val="32"/>
        </w:rPr>
        <w:t>（牵头领导：王若曦；牵头单位：区人力资源和社会保障局；责任单位：区地方金融监督管理局）</w:t>
      </w:r>
      <w:r>
        <w:rPr>
          <w:rFonts w:hint="eastAsia" w:ascii="仿宋_GB2312" w:hAnsi="仿宋_GB2312" w:eastAsia="仿宋_GB2312" w:cs="仿宋_GB2312"/>
          <w:sz w:val="32"/>
          <w:szCs w:val="32"/>
        </w:rPr>
        <w:t>推动应届毕业生、退役军人、农民工、残疾人等重点群体就业帮扶全覆盖，优先推荐岗位，切实兜住兜牢民生底线。</w:t>
      </w:r>
      <w:r>
        <w:rPr>
          <w:rFonts w:hint="eastAsia" w:ascii="楷体_GB2312" w:hAnsi="楷体_GB2312" w:eastAsia="楷体_GB2312" w:cs="楷体_GB2312"/>
          <w:sz w:val="32"/>
          <w:szCs w:val="32"/>
        </w:rPr>
        <w:t>（牵头领导：王若曦；牵头单位：区人力资源和社会保障局;责任单位：区退役军人事务局、区残联、区住房和城市建设局）</w:t>
      </w:r>
    </w:p>
    <w:p>
      <w:pPr>
        <w:spacing w:line="560" w:lineRule="exact"/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千方百计推进消费复苏、稳住投资。</w:t>
      </w:r>
      <w:r>
        <w:rPr>
          <w:rFonts w:hint="eastAsia" w:ascii="仿宋_GB2312" w:hAnsi="仿宋_GB2312" w:eastAsia="仿宋_GB2312" w:cs="仿宋_GB2312"/>
          <w:sz w:val="32"/>
          <w:szCs w:val="32"/>
        </w:rPr>
        <w:t>做实“乐购历下”品牌，聚焦汽车、餐饮、文旅、百货等重点领域，组织策划促销费活动50场，推动消费市场加快恢复；</w:t>
      </w:r>
      <w:r>
        <w:rPr>
          <w:rFonts w:hint="eastAsia" w:ascii="楷体_GB2312" w:hAnsi="楷体_GB2312" w:eastAsia="楷体_GB2312" w:cs="楷体_GB2312"/>
          <w:sz w:val="32"/>
          <w:szCs w:val="32"/>
        </w:rPr>
        <w:t>（牵头领导：洪露；牵头单位：区商务局；责任单位：区文化和旅游局）</w:t>
      </w:r>
      <w:r>
        <w:rPr>
          <w:rFonts w:hint="eastAsia" w:ascii="仿宋_GB2312" w:hAnsi="仿宋_GB2312" w:eastAsia="仿宋_GB2312" w:cs="仿宋_GB2312"/>
          <w:sz w:val="32"/>
          <w:szCs w:val="32"/>
        </w:rPr>
        <w:t>拓展新消费场景，促进直播带货、社交电商集聚发展，积极创建电商示范基地，推动新一代信息技术向消费领域广泛渗透，鼓励实体零售业数字化转型，持续激发消费新活力。</w:t>
      </w:r>
      <w:r>
        <w:rPr>
          <w:rFonts w:hint="eastAsia" w:ascii="楷体_GB2312" w:hAnsi="楷体_GB2312" w:eastAsia="楷体_GB2312" w:cs="楷体_GB2312"/>
          <w:sz w:val="32"/>
          <w:szCs w:val="32"/>
        </w:rPr>
        <w:t>（牵头领导：洪露；责任单位：区商务局）</w:t>
      </w:r>
      <w:r>
        <w:rPr>
          <w:rFonts w:hint="eastAsia" w:ascii="仿宋_GB2312" w:hAnsi="仿宋_GB2312" w:eastAsia="仿宋_GB2312" w:cs="仿宋_GB2312"/>
          <w:sz w:val="32"/>
          <w:szCs w:val="32"/>
        </w:rPr>
        <w:t>坚持“项目为王”，深入推进全区72个重点项目建设，</w:t>
      </w:r>
      <w:r>
        <w:rPr>
          <w:rFonts w:hint="eastAsia" w:ascii="楷体_GB2312" w:hAnsi="楷体_GB2312" w:eastAsia="楷体_GB2312" w:cs="楷体_GB2312"/>
          <w:sz w:val="32"/>
          <w:szCs w:val="32"/>
        </w:rPr>
        <w:t>（牵头领导：武毅；责任单位：区发展和改革局）</w:t>
      </w:r>
      <w:r>
        <w:rPr>
          <w:rFonts w:hint="eastAsia" w:ascii="仿宋_GB2312" w:hAnsi="仿宋_GB2312" w:eastAsia="仿宋_GB2312" w:cs="仿宋_GB2312"/>
          <w:sz w:val="32"/>
          <w:szCs w:val="32"/>
        </w:rPr>
        <w:t>确保CBD中央广场等90万平方米项目交付，加快推进中央商务区北片区等206万平方米项目续建，推动槿椿泺园等113万平方米项目开工，持续夯实投资支撑基础；</w:t>
      </w:r>
      <w:r>
        <w:rPr>
          <w:rFonts w:hint="eastAsia" w:ascii="楷体_GB2312" w:hAnsi="楷体_GB2312" w:eastAsia="楷体_GB2312" w:cs="楷体_GB2312"/>
          <w:sz w:val="32"/>
          <w:szCs w:val="32"/>
        </w:rPr>
        <w:t>（牵头领导：赵冬梅；责任单位：历下控股集团）</w:t>
      </w:r>
      <w:r>
        <w:rPr>
          <w:rFonts w:hint="eastAsia" w:ascii="仿宋_GB2312" w:hAnsi="仿宋_GB2312" w:eastAsia="仿宋_GB2312" w:cs="仿宋_GB2312"/>
          <w:sz w:val="32"/>
          <w:szCs w:val="32"/>
        </w:rPr>
        <w:t>牢牢把握上级政策支持方向，实行重点项目前置准入筛选，用足用好政府专项债券、政策性开发性金融工具、中央预算内资金，充分发挥五大政府平台对项目和资本的吸引作用，策划包装一批体量大、前景好的产业项目，撬动更多社会力量参与历下建设，确保全区项目建设接续有力。</w:t>
      </w:r>
      <w:r>
        <w:rPr>
          <w:rFonts w:hint="eastAsia" w:ascii="楷体_GB2312" w:hAnsi="楷体_GB2312" w:eastAsia="楷体_GB2312" w:cs="楷体_GB2312"/>
          <w:sz w:val="32"/>
          <w:szCs w:val="32"/>
        </w:rPr>
        <w:t>（牵头领导：武毅；牵头单位：区发展和改革局；责任单位：区财政局、历下控股集团、历下城市发展集团、济南古城城市发展有限公司、历下人力资源服务产业园运营管理公司、历下财鑫基金投资集团）</w:t>
      </w:r>
    </w:p>
    <w:p>
      <w:pPr>
        <w:spacing w:line="560" w:lineRule="exact"/>
        <w:ind w:firstLine="643" w:firstLineChars="200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坚定不移维护安全发展、和谐稳定。</w:t>
      </w:r>
      <w:r>
        <w:rPr>
          <w:rFonts w:hint="eastAsia" w:ascii="仿宋_GB2312" w:hAnsi="仿宋_GB2312" w:eastAsia="仿宋_GB2312" w:cs="仿宋_GB2312"/>
          <w:sz w:val="32"/>
          <w:szCs w:val="32"/>
        </w:rPr>
        <w:t>因时因势优化疫情防控措施，认真落实新阶段疫情防控各项举措，着力强化基层医疗卫生机构服务能力，</w:t>
      </w:r>
      <w:r>
        <w:rPr>
          <w:rFonts w:hint="eastAsia" w:ascii="楷体_GB2312" w:hAnsi="楷体_GB2312" w:eastAsia="楷体_GB2312" w:cs="楷体_GB2312"/>
          <w:sz w:val="32"/>
          <w:szCs w:val="32"/>
        </w:rPr>
        <w:t>（牵头领导：王若曦；责任单位：区卫生健康局）</w:t>
      </w:r>
      <w:r>
        <w:rPr>
          <w:rFonts w:hint="eastAsia" w:ascii="仿宋_GB2312" w:hAnsi="仿宋_GB2312" w:eastAsia="仿宋_GB2312" w:cs="仿宋_GB2312"/>
          <w:sz w:val="32"/>
          <w:szCs w:val="32"/>
        </w:rPr>
        <w:t>保障好群众就医用药需求，</w:t>
      </w:r>
      <w:r>
        <w:rPr>
          <w:rFonts w:hint="eastAsia" w:ascii="楷体_GB2312" w:hAnsi="楷体_GB2312" w:eastAsia="楷体_GB2312" w:cs="楷体_GB2312"/>
          <w:sz w:val="32"/>
          <w:szCs w:val="32"/>
        </w:rPr>
        <w:t>（牵头领导：武毅、王若曦；责任单位：区卫生健康局、区市场监督管理局）</w:t>
      </w:r>
      <w:r>
        <w:rPr>
          <w:rFonts w:hint="eastAsia" w:ascii="仿宋_GB2312" w:hAnsi="仿宋_GB2312" w:eastAsia="仿宋_GB2312" w:cs="仿宋_GB2312"/>
          <w:sz w:val="32"/>
          <w:szCs w:val="32"/>
        </w:rPr>
        <w:t>重点加强学校、养老机构等特殊场所管控，</w:t>
      </w:r>
      <w:r>
        <w:rPr>
          <w:rFonts w:hint="eastAsia" w:ascii="楷体_GB2312" w:hAnsi="楷体_GB2312" w:eastAsia="楷体_GB2312" w:cs="楷体_GB2312"/>
          <w:sz w:val="32"/>
          <w:szCs w:val="32"/>
        </w:rPr>
        <w:t>（牵头领导：王若曦、李伟；责任单位：区教育和体育局、区民政局）</w:t>
      </w:r>
      <w:r>
        <w:rPr>
          <w:rFonts w:hint="eastAsia" w:ascii="仿宋_GB2312" w:hAnsi="仿宋_GB2312" w:eastAsia="仿宋_GB2312" w:cs="仿宋_GB2312"/>
          <w:sz w:val="32"/>
          <w:szCs w:val="32"/>
        </w:rPr>
        <w:t>加快推进老年人疫苗接种，</w:t>
      </w:r>
      <w:r>
        <w:rPr>
          <w:rFonts w:hint="eastAsia" w:ascii="楷体_GB2312" w:hAnsi="楷体_GB2312" w:eastAsia="楷体_GB2312" w:cs="楷体_GB2312"/>
          <w:sz w:val="32"/>
          <w:szCs w:val="32"/>
        </w:rPr>
        <w:t>（牵头领导：王若曦；牵头单位：区卫生健康局；责任单位：区疾控中心，各街道办事处）</w:t>
      </w:r>
      <w:r>
        <w:rPr>
          <w:rFonts w:hint="eastAsia" w:ascii="仿宋_GB2312" w:hAnsi="仿宋_GB2312" w:eastAsia="仿宋_GB2312" w:cs="仿宋_GB2312"/>
          <w:sz w:val="32"/>
          <w:szCs w:val="32"/>
        </w:rPr>
        <w:t>着力保健康、防重症，最大限度减少疫情对经济社会发展的影响。持续推进韧性城市建设，不断健全公共安全体系，</w:t>
      </w:r>
      <w:r>
        <w:rPr>
          <w:rFonts w:hint="eastAsia" w:ascii="楷体_GB2312" w:hAnsi="楷体_GB2312" w:eastAsia="楷体_GB2312" w:cs="楷体_GB2312"/>
          <w:sz w:val="32"/>
          <w:szCs w:val="32"/>
        </w:rPr>
        <w:t>（牵头领导：武毅；责任单位：区应急管理局）</w:t>
      </w:r>
      <w:r>
        <w:rPr>
          <w:rFonts w:hint="eastAsia" w:ascii="仿宋_GB2312" w:hAnsi="仿宋_GB2312" w:eastAsia="仿宋_GB2312" w:cs="仿宋_GB2312"/>
          <w:sz w:val="32"/>
          <w:szCs w:val="32"/>
        </w:rPr>
        <w:t>强化食品药品安全监管，</w:t>
      </w:r>
      <w:r>
        <w:rPr>
          <w:rFonts w:hint="eastAsia" w:ascii="楷体_GB2312" w:hAnsi="楷体_GB2312" w:eastAsia="楷体_GB2312" w:cs="楷体_GB2312"/>
          <w:sz w:val="32"/>
          <w:szCs w:val="32"/>
        </w:rPr>
        <w:t>（牵头领导：武毅；责任单位：区市场监督管理局）</w:t>
      </w:r>
      <w:r>
        <w:rPr>
          <w:rFonts w:hint="eastAsia" w:ascii="仿宋_GB2312" w:hAnsi="仿宋_GB2312" w:eastAsia="仿宋_GB2312" w:cs="仿宋_GB2312"/>
          <w:sz w:val="32"/>
          <w:szCs w:val="32"/>
        </w:rPr>
        <w:t>切实提升城市防汛、森林防火、应急救援能力，</w:t>
      </w:r>
      <w:r>
        <w:rPr>
          <w:rFonts w:hint="eastAsia" w:ascii="楷体_GB2312" w:hAnsi="楷体_GB2312" w:eastAsia="楷体_GB2312" w:cs="楷体_GB2312"/>
          <w:sz w:val="32"/>
          <w:szCs w:val="32"/>
        </w:rPr>
        <w:t>（牵头领导：武毅；牵头单位：区应急管理局；责任单位：区水务局、区自然资源局、区消防救援大队）</w:t>
      </w:r>
      <w:r>
        <w:rPr>
          <w:rFonts w:hint="eastAsia" w:ascii="仿宋_GB2312" w:hAnsi="仿宋_GB2312" w:eastAsia="仿宋_GB2312" w:cs="仿宋_GB2312"/>
          <w:sz w:val="32"/>
          <w:szCs w:val="32"/>
        </w:rPr>
        <w:t>加快茂岭山消防站建设，</w:t>
      </w:r>
      <w:r>
        <w:rPr>
          <w:rFonts w:hint="eastAsia" w:ascii="楷体_GB2312" w:hAnsi="楷体_GB2312" w:eastAsia="楷体_GB2312" w:cs="楷体_GB2312"/>
          <w:sz w:val="32"/>
          <w:szCs w:val="32"/>
        </w:rPr>
        <w:t>（牵头领导：武毅；责任单位：区消防救援大队）</w:t>
      </w:r>
      <w:r>
        <w:rPr>
          <w:rFonts w:hint="eastAsia" w:ascii="仿宋_GB2312" w:hAnsi="仿宋_GB2312" w:eastAsia="仿宋_GB2312" w:cs="仿宋_GB2312"/>
          <w:sz w:val="32"/>
          <w:szCs w:val="32"/>
        </w:rPr>
        <w:t>扎实开展安全隐患排查整治，防范遏制较大以上事故发生。</w:t>
      </w:r>
      <w:r>
        <w:rPr>
          <w:rFonts w:hint="eastAsia" w:ascii="楷体_GB2312" w:hAnsi="楷体_GB2312" w:eastAsia="楷体_GB2312" w:cs="楷体_GB2312"/>
          <w:sz w:val="32"/>
          <w:szCs w:val="32"/>
        </w:rPr>
        <w:t>（牵头领导：武毅；牵头单位：区应急管理局；责任单位：区安委会各成员单位）</w:t>
      </w:r>
      <w:r>
        <w:rPr>
          <w:rFonts w:hint="eastAsia" w:ascii="仿宋_GB2312" w:hAnsi="仿宋_GB2312" w:eastAsia="仿宋_GB2312" w:cs="仿宋_GB2312"/>
          <w:sz w:val="32"/>
          <w:szCs w:val="32"/>
        </w:rPr>
        <w:t>依法推进信访积案化解，严格执行公开接访制度，</w:t>
      </w:r>
      <w:r>
        <w:rPr>
          <w:rFonts w:hint="eastAsia" w:ascii="楷体_GB2312" w:hAnsi="楷体_GB2312" w:eastAsia="楷体_GB2312" w:cs="楷体_GB2312"/>
          <w:sz w:val="32"/>
          <w:szCs w:val="32"/>
        </w:rPr>
        <w:t>（牵头领导：李伟；责任单位：区信访局）</w:t>
      </w:r>
      <w:r>
        <w:rPr>
          <w:rFonts w:hint="eastAsia" w:ascii="仿宋_GB2312" w:hAnsi="仿宋_GB2312" w:eastAsia="仿宋_GB2312" w:cs="仿宋_GB2312"/>
          <w:sz w:val="32"/>
          <w:szCs w:val="32"/>
        </w:rPr>
        <w:t>持续推动扫黑除恶常态化，严厉打击侵害群众利益、扰乱市场环境的违法犯罪行为。</w:t>
      </w:r>
      <w:r>
        <w:rPr>
          <w:rFonts w:hint="eastAsia" w:ascii="楷体_GB2312" w:hAnsi="楷体_GB2312" w:eastAsia="楷体_GB2312" w:cs="楷体_GB2312"/>
          <w:sz w:val="32"/>
          <w:szCs w:val="32"/>
        </w:rPr>
        <w:t>（牵头领导：毕经海；牵头单位：区委政法委；责任单位：区公安分局）</w:t>
      </w:r>
      <w:r>
        <w:rPr>
          <w:rFonts w:hint="eastAsia" w:ascii="仿宋_GB2312" w:hAnsi="仿宋_GB2312" w:eastAsia="仿宋_GB2312" w:cs="仿宋_GB2312"/>
          <w:sz w:val="32"/>
          <w:szCs w:val="32"/>
        </w:rPr>
        <w:t>推动房地产市场平稳发展，扎实做好保交楼、保民生、保稳定各项工作。</w:t>
      </w:r>
      <w:r>
        <w:rPr>
          <w:rFonts w:hint="eastAsia" w:ascii="楷体_GB2312" w:hAnsi="楷体_GB2312" w:eastAsia="楷体_GB2312" w:cs="楷体_GB2312"/>
          <w:sz w:val="32"/>
          <w:szCs w:val="32"/>
        </w:rPr>
        <w:t>（牵头领导：赵冬梅；牵头单位：区住房和城市建设局；责任单位：各街道办事处）</w:t>
      </w:r>
      <w:r>
        <w:rPr>
          <w:rFonts w:hint="eastAsia" w:ascii="仿宋_GB2312" w:hAnsi="仿宋_GB2312" w:eastAsia="仿宋_GB2312" w:cs="仿宋_GB2312"/>
          <w:sz w:val="32"/>
          <w:szCs w:val="32"/>
        </w:rPr>
        <w:t>督促金融机构有效压降不良贷款，强化金融风险日常监测。</w:t>
      </w:r>
      <w:r>
        <w:rPr>
          <w:rFonts w:hint="eastAsia" w:ascii="楷体_GB2312" w:hAnsi="楷体_GB2312" w:eastAsia="楷体_GB2312" w:cs="楷体_GB2312"/>
          <w:sz w:val="32"/>
          <w:szCs w:val="32"/>
        </w:rPr>
        <w:t>（牵头领导：武毅；责任单位：区地方金融监督管理局）</w:t>
      </w:r>
      <w:r>
        <w:rPr>
          <w:rFonts w:hint="eastAsia" w:ascii="仿宋_GB2312" w:hAnsi="仿宋_GB2312" w:eastAsia="仿宋_GB2312" w:cs="仿宋_GB2312"/>
          <w:sz w:val="32"/>
          <w:szCs w:val="32"/>
        </w:rPr>
        <w:t>紧盯粮食安全，完善粮食应急保障体系，持续充实成品粮油应急储备。</w:t>
      </w:r>
      <w:r>
        <w:rPr>
          <w:rFonts w:hint="eastAsia" w:ascii="楷体_GB2312" w:hAnsi="楷体_GB2312" w:eastAsia="楷体_GB2312" w:cs="楷体_GB2312"/>
          <w:sz w:val="32"/>
          <w:szCs w:val="32"/>
        </w:rPr>
        <w:t>（牵头领导：武毅；责任单位：区发展和改革局）</w:t>
      </w:r>
      <w:r>
        <w:rPr>
          <w:rFonts w:hint="eastAsia" w:ascii="仿宋_GB2312" w:hAnsi="仿宋_GB2312" w:eastAsia="仿宋_GB2312" w:cs="仿宋_GB2312"/>
          <w:sz w:val="32"/>
          <w:szCs w:val="32"/>
        </w:rPr>
        <w:t>密切关注、及时处置重大舆情，充分发挥融媒平台作用，积极回应社会关切，做好正面引导，为经济社会发展营造和谐稳定的良好氛围。</w:t>
      </w:r>
      <w:r>
        <w:rPr>
          <w:rFonts w:hint="eastAsia" w:ascii="楷体_GB2312" w:hAnsi="楷体_GB2312" w:eastAsia="楷体_GB2312" w:cs="楷体_GB2312"/>
          <w:sz w:val="32"/>
          <w:szCs w:val="32"/>
        </w:rPr>
        <w:t>（牵头领导：区有关领导；责任单位：区委宣传部）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（二）统筹城市更新和产业转型升级，着力提升城市发展能级。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以征收拆迁为带动，加速城市有机更新，加快构建“一轴三区多园”城市发展新格局。</w:t>
      </w:r>
    </w:p>
    <w:p>
      <w:pPr>
        <w:spacing w:line="560" w:lineRule="exact"/>
        <w:ind w:firstLine="643" w:firstLineChars="200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以非常之力跑出征收拆迁“加速度”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。坚持“留、改、拆、建”并举，推动解放桥、铁路党校等城市更新项目取得实质性进展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楷体_GB2312" w:hAnsi="楷体_GB2312" w:eastAsia="楷体_GB2312" w:cs="楷体_GB2312"/>
          <w:sz w:val="32"/>
          <w:szCs w:val="32"/>
        </w:rPr>
        <w:t>（牵头领导：赵冬梅；牵头单位：区住房和城市建设局；责任单位：区房屋征收服务中心，建新、解放路、文东街道办事处，历下控股集团、历下城市发展集团）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全力推进中建八局地块等8个</w:t>
      </w:r>
      <w:r>
        <w:rPr>
          <w:rFonts w:ascii="仿宋_GB2312" w:hAnsi="仿宋_GB2312" w:eastAsia="仿宋_GB2312" w:cs="仿宋_GB2312"/>
          <w:bCs/>
          <w:sz w:val="32"/>
          <w:szCs w:val="32"/>
        </w:rPr>
        <w:t>项目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、20万平方米</w:t>
      </w:r>
      <w:r>
        <w:rPr>
          <w:rFonts w:ascii="仿宋_GB2312" w:hAnsi="仿宋_GB2312" w:eastAsia="仿宋_GB2312" w:cs="仿宋_GB2312"/>
          <w:bCs/>
          <w:sz w:val="32"/>
          <w:szCs w:val="32"/>
        </w:rPr>
        <w:t>征收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拆迁，尽快完成</w:t>
      </w:r>
      <w:r>
        <w:rPr>
          <w:rFonts w:ascii="仿宋_GB2312" w:hAnsi="仿宋_GB2312" w:eastAsia="仿宋_GB2312" w:cs="仿宋_GB2312"/>
          <w:bCs/>
          <w:sz w:val="32"/>
          <w:szCs w:val="32"/>
        </w:rPr>
        <w:t>小南营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等3个项目</w:t>
      </w:r>
      <w:r>
        <w:rPr>
          <w:rFonts w:ascii="仿宋_GB2312" w:hAnsi="仿宋_GB2312" w:eastAsia="仿宋_GB2312" w:cs="仿宋_GB2312"/>
          <w:bCs/>
          <w:sz w:val="32"/>
          <w:szCs w:val="32"/>
        </w:rPr>
        <w:t>扫尾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清零。</w:t>
      </w:r>
      <w:r>
        <w:rPr>
          <w:rFonts w:hint="eastAsia" w:ascii="楷体_GB2312" w:hAnsi="楷体_GB2312" w:eastAsia="楷体_GB2312" w:cs="楷体_GB2312"/>
          <w:sz w:val="32"/>
          <w:szCs w:val="32"/>
        </w:rPr>
        <w:t>（牵头领导：赵冬梅；牵头单位：区住房和城市建设局；责任单位：房屋征收服务中心，泉城路、大明湖、东关、建新、千佛山、解放路、姚家、智远街道办事处，历下控股集团、历下城市发展集团）</w:t>
      </w:r>
      <w:r>
        <w:rPr>
          <w:rFonts w:ascii="仿宋_GB2312" w:hAnsi="仿宋_GB2312" w:eastAsia="仿宋_GB2312" w:cs="仿宋_GB2312"/>
          <w:bCs/>
          <w:sz w:val="32"/>
          <w:szCs w:val="32"/>
        </w:rPr>
        <w:t>坚决打赢义和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庄征收拆迁</w:t>
      </w:r>
      <w:r>
        <w:rPr>
          <w:rFonts w:ascii="仿宋_GB2312" w:hAnsi="仿宋_GB2312" w:eastAsia="仿宋_GB2312" w:cs="仿宋_GB2312"/>
          <w:bCs/>
          <w:sz w:val="32"/>
          <w:szCs w:val="32"/>
        </w:rPr>
        <w:t>攻坚战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，</w:t>
      </w:r>
      <w:r>
        <w:rPr>
          <w:rFonts w:hint="eastAsia" w:ascii="楷体_GB2312" w:hAnsi="楷体_GB2312" w:eastAsia="楷体_GB2312" w:cs="楷体_GB2312"/>
          <w:sz w:val="32"/>
          <w:szCs w:val="32"/>
        </w:rPr>
        <w:t>（牵头领导：赵冬梅；牵头单位：区住房和城市建设局；责任单位：智远街道办事处、历下控股集团）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探索中井村更新实施方案，</w:t>
      </w:r>
      <w:r>
        <w:rPr>
          <w:rFonts w:hint="eastAsia" w:ascii="楷体_GB2312" w:hAnsi="楷体_GB2312" w:eastAsia="楷体_GB2312" w:cs="楷体_GB2312"/>
          <w:sz w:val="32"/>
          <w:szCs w:val="32"/>
        </w:rPr>
        <w:t>（牵头领导：赵冬梅；牵头单位：区住房和城市建设局；责任单位：区自然资源局、龙洞街道办事处）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加快文博西片区建设，同步解决姚家村“新村上楼”和村民生活保障房问题，</w:t>
      </w:r>
      <w:r>
        <w:rPr>
          <w:rFonts w:hint="eastAsia" w:ascii="楷体_GB2312" w:hAnsi="楷体_GB2312" w:eastAsia="楷体_GB2312" w:cs="楷体_GB2312"/>
          <w:sz w:val="32"/>
          <w:szCs w:val="32"/>
        </w:rPr>
        <w:t>（牵头领导：赵冬梅；牵头单位：区住房和城市建设局；责任单位：区自然资源局、姚家街道办事处）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推动城市品质面貌和居民生活水平双提升</w:t>
      </w:r>
      <w:r>
        <w:rPr>
          <w:rFonts w:ascii="仿宋_GB2312" w:hAnsi="仿宋_GB2312" w:eastAsia="仿宋_GB2312" w:cs="仿宋_GB2312"/>
          <w:bCs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全面强化要素保障，科学拓展城市建设边界，全年实现科技城等片区供地550余亩，给未来腾出发展空间。</w:t>
      </w:r>
      <w:r>
        <w:rPr>
          <w:rFonts w:hint="eastAsia" w:ascii="楷体_GB2312" w:hAnsi="楷体_GB2312" w:eastAsia="楷体_GB2312" w:cs="楷体_GB2312"/>
          <w:sz w:val="32"/>
          <w:szCs w:val="32"/>
        </w:rPr>
        <w:t>（牵头领导：赵冬梅；责任单位：区自然资源局）</w:t>
      </w:r>
    </w:p>
    <w:p>
      <w:pPr>
        <w:spacing w:line="560" w:lineRule="exact"/>
        <w:ind w:firstLine="643" w:firstLineChars="200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以持久之功塑造济南古城“新面貌”。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尊重文化遗产真实性和完整性，围绕泉水泉道、传统街巷、建筑院落、历史人文、文旅产业五大主线，高标准做好古城规划策划</w:t>
      </w:r>
      <w:r>
        <w:rPr>
          <w:rFonts w:hint="eastAsia" w:ascii="楷体_GB2312" w:hAnsi="楷体_GB2312" w:eastAsia="楷体_GB2312" w:cs="楷体_GB2312"/>
          <w:sz w:val="32"/>
          <w:szCs w:val="32"/>
        </w:rPr>
        <w:t>（牵头领导：赵冬梅；牵头单位：济南古城保护和发展中心；责任单位：区文化和旅游局）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，改造提升百花洲历史文化展示中心，</w:t>
      </w:r>
      <w:r>
        <w:rPr>
          <w:rFonts w:hint="eastAsia" w:ascii="楷体_GB2312" w:hAnsi="楷体_GB2312" w:eastAsia="楷体_GB2312" w:cs="楷体_GB2312"/>
          <w:bCs/>
          <w:sz w:val="32"/>
          <w:szCs w:val="32"/>
        </w:rPr>
        <w:t>（</w:t>
      </w:r>
      <w:r>
        <w:rPr>
          <w:rFonts w:hint="eastAsia" w:ascii="楷体_GB2312" w:hAnsi="楷体_GB2312" w:eastAsia="楷体_GB2312" w:cs="楷体_GB2312"/>
          <w:sz w:val="32"/>
          <w:szCs w:val="32"/>
        </w:rPr>
        <w:t>牵头领导：赵冬梅；</w:t>
      </w:r>
      <w:r>
        <w:rPr>
          <w:rFonts w:hint="eastAsia" w:ascii="楷体_GB2312" w:hAnsi="楷体_GB2312" w:eastAsia="楷体_GB2312" w:cs="楷体_GB2312"/>
          <w:bCs/>
          <w:sz w:val="32"/>
          <w:szCs w:val="32"/>
        </w:rPr>
        <w:t>责任单位：</w:t>
      </w:r>
      <w:r>
        <w:rPr>
          <w:rFonts w:hint="eastAsia" w:ascii="楷体_GB2312" w:hAnsi="楷体_GB2312" w:eastAsia="楷体_GB2312" w:cs="楷体_GB2312"/>
          <w:sz w:val="32"/>
          <w:szCs w:val="32"/>
        </w:rPr>
        <w:t>济南古城保护和发展中心</w:t>
      </w:r>
      <w:r>
        <w:rPr>
          <w:rFonts w:hint="eastAsia" w:ascii="楷体_GB2312" w:hAnsi="楷体_GB2312" w:eastAsia="楷体_GB2312" w:cs="楷体_GB2312"/>
          <w:bCs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让城市留住记忆。全面完成片区房屋征收，启动小明湖地块建设。</w:t>
      </w:r>
      <w:r>
        <w:rPr>
          <w:rFonts w:hint="eastAsia" w:ascii="楷体_GB2312" w:hAnsi="楷体_GB2312" w:eastAsia="楷体_GB2312" w:cs="楷体_GB2312"/>
          <w:bCs/>
          <w:sz w:val="32"/>
          <w:szCs w:val="32"/>
        </w:rPr>
        <w:t>（</w:t>
      </w:r>
      <w:r>
        <w:rPr>
          <w:rFonts w:hint="eastAsia" w:ascii="楷体_GB2312" w:hAnsi="楷体_GB2312" w:eastAsia="楷体_GB2312" w:cs="楷体_GB2312"/>
          <w:sz w:val="32"/>
          <w:szCs w:val="32"/>
        </w:rPr>
        <w:t>牵头领导：赵冬梅；</w:t>
      </w:r>
      <w:r>
        <w:rPr>
          <w:rFonts w:hint="eastAsia" w:ascii="楷体_GB2312" w:hAnsi="楷体_GB2312" w:eastAsia="楷体_GB2312" w:cs="楷体_GB2312"/>
          <w:bCs/>
          <w:sz w:val="32"/>
          <w:szCs w:val="32"/>
        </w:rPr>
        <w:t>牵头单位：</w:t>
      </w:r>
      <w:r>
        <w:rPr>
          <w:rFonts w:hint="eastAsia" w:ascii="楷体_GB2312" w:hAnsi="楷体_GB2312" w:eastAsia="楷体_GB2312" w:cs="楷体_GB2312"/>
          <w:sz w:val="32"/>
          <w:szCs w:val="32"/>
        </w:rPr>
        <w:t>济南古城保护和发展中心；责任单位：区住房和城市建设局、区房屋征收服务中心、泉城路、大明湖街道办事处</w:t>
      </w:r>
      <w:r>
        <w:rPr>
          <w:rFonts w:hint="eastAsia" w:ascii="楷体_GB2312" w:hAnsi="楷体_GB2312" w:eastAsia="楷体_GB2312" w:cs="楷体_GB2312"/>
          <w:bCs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做好传承创新文章，着力打造非遗与手工业传承、制作、销售、展示、体验的产业链条，推动历史文化创造性转化、创新性发展。</w:t>
      </w:r>
      <w:r>
        <w:rPr>
          <w:rFonts w:hint="eastAsia" w:ascii="楷体_GB2312" w:hAnsi="楷体_GB2312" w:eastAsia="楷体_GB2312" w:cs="楷体_GB2312"/>
          <w:sz w:val="32"/>
          <w:szCs w:val="32"/>
        </w:rPr>
        <w:t>（牵头领导：赵冬梅；牵头单位：济南古城保护和发展中心；责任单位：区文化和旅游局、历下控股集团）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不断扩大国家级夜间文旅消费集聚区和国家级旅游休闲街区影响力，成立泉城路商圈联盟，有效盘活闲置资源，重现济南古城文旅商繁荣发展格局。</w:t>
      </w:r>
      <w:r>
        <w:rPr>
          <w:rFonts w:hint="eastAsia" w:ascii="楷体_GB2312" w:hAnsi="楷体_GB2312" w:eastAsia="楷体_GB2312" w:cs="楷体_GB2312"/>
          <w:sz w:val="32"/>
          <w:szCs w:val="32"/>
        </w:rPr>
        <w:t>（牵头领导：李伟；牵头单位：区文化和旅游局；责任单位：区商务局、济南古城保护和发展中心）</w:t>
      </w:r>
    </w:p>
    <w:p>
      <w:pPr>
        <w:spacing w:line="560" w:lineRule="exact"/>
        <w:ind w:firstLine="643" w:firstLineChars="200"/>
        <w:rPr>
          <w:rFonts w:ascii="楷体_GB2312" w:hAnsi="楷体_GB2312" w:eastAsia="楷体_GB2312" w:cs="楷体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以务实之效提升中央商务区“硬实力”。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加快推动“山泉湖河城”五大超高层等67栋、300万平方米高端楼宇建设，</w:t>
      </w:r>
      <w:r>
        <w:rPr>
          <w:rFonts w:hint="eastAsia" w:ascii="楷体_GB2312" w:hAnsi="楷体_GB2312" w:eastAsia="楷体_GB2312" w:cs="楷体_GB2312"/>
          <w:sz w:val="32"/>
          <w:szCs w:val="32"/>
        </w:rPr>
        <w:t>（牵头领导：武毅；牵头单位：区发展和改革局；责任单位:区住房和城市建设局、济南中央商务区管委会）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确保济南平安金融中心、华泉万象天地等80万平方米载体建成交付。</w:t>
      </w:r>
      <w:r>
        <w:rPr>
          <w:rFonts w:hint="eastAsia" w:ascii="楷体_GB2312" w:hAnsi="楷体_GB2312" w:eastAsia="楷体_GB2312" w:cs="楷体_GB2312"/>
          <w:sz w:val="32"/>
          <w:szCs w:val="32"/>
        </w:rPr>
        <w:t>（牵头领导：武毅；牵头单位：区发展和改革局；责任单位:区住房和城市建设局、济南中央商务区管委会）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加快片区内34条道路建设，</w:t>
      </w:r>
      <w:r>
        <w:rPr>
          <w:rFonts w:hint="eastAsia" w:ascii="楷体_GB2312" w:hAnsi="楷体_GB2312" w:eastAsia="楷体_GB2312" w:cs="楷体_GB2312"/>
          <w:sz w:val="32"/>
          <w:szCs w:val="32"/>
        </w:rPr>
        <w:t>（牵头领导：于杰；责任单位：区市政工程服务中心）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推进交通设施验收移交，优化过渡时期交通组织，科学划定停车泊位，</w:t>
      </w:r>
      <w:r>
        <w:rPr>
          <w:rFonts w:hint="eastAsia" w:ascii="楷体_GB2312" w:hAnsi="楷体_GB2312" w:eastAsia="楷体_GB2312" w:cs="楷体_GB2312"/>
          <w:sz w:val="32"/>
          <w:szCs w:val="32"/>
        </w:rPr>
        <w:t>（牵头领导：于杰；牵头单位：区交警大队；责任单位:区市政工程服务中心、区园林绿化服务中心）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引入社区公交线路，全面提升片区交通环境。</w:t>
      </w:r>
      <w:r>
        <w:rPr>
          <w:rFonts w:hint="eastAsia" w:ascii="楷体_GB2312" w:hAnsi="楷体_GB2312" w:eastAsia="楷体_GB2312" w:cs="楷体_GB2312"/>
          <w:sz w:val="32"/>
          <w:szCs w:val="32"/>
        </w:rPr>
        <w:t>（牵头领导：于杰；牵头单位：区市政工程服务中心）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突出金融和总部经济辐射引领作用和国际化定位，研究出台CBD招大引强专项优惠扶持政策，</w:t>
      </w:r>
      <w:r>
        <w:rPr>
          <w:rFonts w:hint="eastAsia" w:ascii="楷体_GB2312" w:hAnsi="楷体_GB2312" w:eastAsia="楷体_GB2312" w:cs="楷体_GB2312"/>
          <w:sz w:val="32"/>
          <w:szCs w:val="32"/>
        </w:rPr>
        <w:t>（牵头领导：王海清；牵头单位:济南中央商务区管委会；责任单位:区投资促进局）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深化“一楼一策”“一企一策”招商服务模式，以国际金融城北区等载体为依托，瞄准世界500强和行业头部企业，再添至少3座“亿元楼”。</w:t>
      </w:r>
      <w:r>
        <w:rPr>
          <w:rFonts w:hint="eastAsia" w:ascii="楷体_GB2312" w:hAnsi="楷体_GB2312" w:eastAsia="楷体_GB2312" w:cs="楷体_GB2312"/>
          <w:bCs/>
          <w:sz w:val="32"/>
          <w:szCs w:val="32"/>
        </w:rPr>
        <w:t>（</w:t>
      </w:r>
      <w:r>
        <w:rPr>
          <w:rFonts w:hint="eastAsia" w:ascii="楷体_GB2312" w:hAnsi="楷体_GB2312" w:eastAsia="楷体_GB2312" w:cs="楷体_GB2312"/>
          <w:sz w:val="32"/>
          <w:szCs w:val="32"/>
        </w:rPr>
        <w:t>牵头领导：王海清；</w:t>
      </w:r>
      <w:r>
        <w:rPr>
          <w:rFonts w:hint="eastAsia" w:ascii="楷体_GB2312" w:hAnsi="楷体_GB2312" w:eastAsia="楷体_GB2312" w:cs="楷体_GB2312"/>
          <w:bCs/>
          <w:sz w:val="32"/>
          <w:szCs w:val="32"/>
        </w:rPr>
        <w:t>牵头单位:济南中央商务区管委会；责任单位：区商务局）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专设税收征管、行政审批、工商注册等服务机构，着力提升服务保障水平。</w:t>
      </w:r>
      <w:r>
        <w:rPr>
          <w:rFonts w:hint="eastAsia" w:ascii="楷体_GB2312" w:hAnsi="楷体_GB2312" w:eastAsia="楷体_GB2312" w:cs="楷体_GB2312"/>
          <w:bCs/>
          <w:sz w:val="32"/>
          <w:szCs w:val="32"/>
        </w:rPr>
        <w:t>（</w:t>
      </w:r>
      <w:r>
        <w:rPr>
          <w:rFonts w:hint="eastAsia" w:ascii="楷体_GB2312" w:hAnsi="楷体_GB2312" w:eastAsia="楷体_GB2312" w:cs="楷体_GB2312"/>
          <w:sz w:val="32"/>
          <w:szCs w:val="32"/>
        </w:rPr>
        <w:t>牵头领导：王海清；</w:t>
      </w:r>
      <w:r>
        <w:rPr>
          <w:rFonts w:hint="eastAsia" w:ascii="楷体_GB2312" w:hAnsi="楷体_GB2312" w:eastAsia="楷体_GB2312" w:cs="楷体_GB2312"/>
          <w:bCs/>
          <w:sz w:val="32"/>
          <w:szCs w:val="32"/>
        </w:rPr>
        <w:t>牵头单位：济南中央商务区管委会；责任单位:区税务局、区行政审批服务局）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加快推进智慧化国际商圈建设，以智能停车、商圈大数据平台等为切入点推动商圈数字化改造，积极引入国际知名商超便利、高端餐饮、精品文娱、科技服务类品牌，打造国际化高端消费特色街区，</w:t>
      </w:r>
      <w:r>
        <w:rPr>
          <w:rFonts w:hint="eastAsia" w:ascii="楷体_GB2312" w:hAnsi="楷体_GB2312" w:eastAsia="楷体_GB2312" w:cs="楷体_GB2312"/>
          <w:bCs/>
          <w:sz w:val="32"/>
          <w:szCs w:val="32"/>
        </w:rPr>
        <w:t>（牵头领导：王海清；牵头单位：济南中央商务区管委会；责任单位:区商务局）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举办好中国商务区联盟年会等大型宣传推介活动，让CBD更具活力、更具吸引力，加快构建省会高质量发展最强动力源。</w:t>
      </w:r>
      <w:r>
        <w:rPr>
          <w:rFonts w:hint="eastAsia" w:ascii="楷体_GB2312" w:hAnsi="楷体_GB2312" w:eastAsia="楷体_GB2312" w:cs="楷体_GB2312"/>
          <w:bCs/>
          <w:sz w:val="32"/>
          <w:szCs w:val="32"/>
        </w:rPr>
        <w:t>（牵头领导：王海清；责任单位：济南中央商务区管委会）</w:t>
      </w:r>
    </w:p>
    <w:p>
      <w:pPr>
        <w:spacing w:line="560" w:lineRule="exact"/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以战略之举打造长岭高科“新高地”。</w:t>
      </w:r>
      <w:r>
        <w:rPr>
          <w:rFonts w:hint="eastAsia" w:ascii="仿宋_GB2312" w:hAnsi="仿宋_GB2312" w:eastAsia="仿宋_GB2312" w:cs="仿宋_GB2312"/>
          <w:sz w:val="32"/>
          <w:szCs w:val="32"/>
        </w:rPr>
        <w:t>尽快完成片区相关地块用地性质调整，强化产业用地供给，</w:t>
      </w:r>
      <w:r>
        <w:rPr>
          <w:rFonts w:hint="eastAsia" w:ascii="楷体_GB2312" w:hAnsi="楷体_GB2312" w:eastAsia="楷体_GB2312" w:cs="楷体_GB2312"/>
          <w:bCs/>
          <w:sz w:val="32"/>
          <w:szCs w:val="32"/>
        </w:rPr>
        <w:t>（</w:t>
      </w:r>
      <w:r>
        <w:rPr>
          <w:rFonts w:hint="eastAsia" w:ascii="楷体_GB2312" w:hAnsi="楷体_GB2312" w:eastAsia="楷体_GB2312" w:cs="楷体_GB2312"/>
          <w:sz w:val="32"/>
          <w:szCs w:val="32"/>
        </w:rPr>
        <w:t>牵头领导：赵冬梅；</w:t>
      </w:r>
      <w:r>
        <w:rPr>
          <w:rFonts w:hint="eastAsia" w:ascii="楷体_GB2312" w:hAnsi="楷体_GB2312" w:eastAsia="楷体_GB2312" w:cs="楷体_GB2312"/>
          <w:bCs/>
          <w:sz w:val="32"/>
          <w:szCs w:val="32"/>
        </w:rPr>
        <w:t>责任单位:区自然资源局）</w:t>
      </w:r>
      <w:r>
        <w:rPr>
          <w:rFonts w:hint="eastAsia" w:ascii="仿宋_GB2312" w:hAnsi="仿宋_GB2312" w:eastAsia="仿宋_GB2312" w:cs="仿宋_GB2312"/>
          <w:sz w:val="32"/>
          <w:szCs w:val="32"/>
        </w:rPr>
        <w:t>做好电子信息制造产业园等项目包装策划，积极申报80亿元政府专项债券支持，</w:t>
      </w:r>
      <w:r>
        <w:rPr>
          <w:rFonts w:hint="eastAsia" w:ascii="楷体_GB2312" w:hAnsi="楷体_GB2312" w:eastAsia="楷体_GB2312" w:cs="楷体_GB2312"/>
          <w:bCs/>
          <w:sz w:val="32"/>
          <w:szCs w:val="32"/>
        </w:rPr>
        <w:t>（</w:t>
      </w:r>
      <w:r>
        <w:rPr>
          <w:rFonts w:hint="eastAsia" w:ascii="楷体_GB2312" w:hAnsi="楷体_GB2312" w:eastAsia="楷体_GB2312" w:cs="楷体_GB2312"/>
          <w:sz w:val="32"/>
          <w:szCs w:val="32"/>
        </w:rPr>
        <w:t>牵头领导：武毅；</w:t>
      </w:r>
      <w:r>
        <w:rPr>
          <w:rFonts w:hint="eastAsia" w:ascii="楷体_GB2312" w:hAnsi="楷体_GB2312" w:eastAsia="楷体_GB2312" w:cs="楷体_GB2312"/>
          <w:bCs/>
          <w:sz w:val="32"/>
          <w:szCs w:val="32"/>
        </w:rPr>
        <w:t>牵头单位:区发展和改革局；责任单位：区财政局）</w:t>
      </w:r>
      <w:r>
        <w:rPr>
          <w:rFonts w:hint="eastAsia" w:ascii="仿宋_GB2312" w:hAnsi="仿宋_GB2312" w:eastAsia="仿宋_GB2312" w:cs="仿宋_GB2312"/>
          <w:sz w:val="32"/>
          <w:szCs w:val="32"/>
        </w:rPr>
        <w:t>加快52万平方米的义和庄村民生活保障用房等项目建设，为重点产业项目落地提供完备要素保障。</w:t>
      </w:r>
      <w:r>
        <w:rPr>
          <w:rFonts w:hint="eastAsia" w:ascii="楷体_GB2312" w:hAnsi="楷体_GB2312" w:eastAsia="楷体_GB2312" w:cs="楷体_GB2312"/>
          <w:bCs/>
          <w:sz w:val="32"/>
          <w:szCs w:val="32"/>
        </w:rPr>
        <w:t>（</w:t>
      </w:r>
      <w:r>
        <w:rPr>
          <w:rFonts w:hint="eastAsia" w:ascii="楷体_GB2312" w:hAnsi="楷体_GB2312" w:eastAsia="楷体_GB2312" w:cs="楷体_GB2312"/>
          <w:sz w:val="32"/>
          <w:szCs w:val="32"/>
        </w:rPr>
        <w:t>牵头领导：赵冬梅；</w:t>
      </w:r>
      <w:r>
        <w:rPr>
          <w:rFonts w:hint="eastAsia" w:ascii="楷体_GB2312" w:hAnsi="楷体_GB2312" w:eastAsia="楷体_GB2312" w:cs="楷体_GB2312"/>
          <w:bCs/>
          <w:sz w:val="32"/>
          <w:szCs w:val="32"/>
        </w:rPr>
        <w:t>责任单位：历下控股集团）</w:t>
      </w:r>
      <w:r>
        <w:rPr>
          <w:rFonts w:hint="eastAsia" w:ascii="仿宋_GB2312" w:hAnsi="仿宋_GB2312" w:eastAsia="仿宋_GB2312" w:cs="仿宋_GB2312"/>
          <w:sz w:val="32"/>
          <w:szCs w:val="32"/>
        </w:rPr>
        <w:t>坚持新一代信息技术和生物医药产业发展主攻方向，高标准规划建设明湖国际新技术产业园、电子信息产业园，发挥华为等龙头企业带动作用，吸引芯片设计、算力算法等领域顶尖资源、高端人才聚集；</w:t>
      </w:r>
      <w:r>
        <w:rPr>
          <w:rFonts w:hint="eastAsia" w:ascii="楷体_GB2312" w:hAnsi="楷体_GB2312" w:eastAsia="楷体_GB2312" w:cs="楷体_GB2312"/>
          <w:bCs/>
          <w:sz w:val="32"/>
          <w:szCs w:val="32"/>
        </w:rPr>
        <w:t>（</w:t>
      </w:r>
      <w:r>
        <w:rPr>
          <w:rFonts w:hint="eastAsia" w:ascii="楷体_GB2312" w:hAnsi="楷体_GB2312" w:eastAsia="楷体_GB2312" w:cs="楷体_GB2312"/>
          <w:sz w:val="32"/>
          <w:szCs w:val="32"/>
        </w:rPr>
        <w:t>牵头领导：赵冬梅；</w:t>
      </w:r>
      <w:r>
        <w:rPr>
          <w:rFonts w:hint="eastAsia" w:ascii="楷体_GB2312" w:hAnsi="楷体_GB2312" w:eastAsia="楷体_GB2312" w:cs="楷体_GB2312"/>
          <w:bCs/>
          <w:sz w:val="32"/>
          <w:szCs w:val="32"/>
        </w:rPr>
        <w:t>责任单位：历下控股集团）</w:t>
      </w:r>
      <w:r>
        <w:rPr>
          <w:rFonts w:hint="eastAsia" w:ascii="仿宋_GB2312" w:hAnsi="仿宋_GB2312" w:eastAsia="仿宋_GB2312" w:cs="仿宋_GB2312"/>
          <w:sz w:val="32"/>
          <w:szCs w:val="32"/>
        </w:rPr>
        <w:t>全力抢抓进度，确保明湖国际生物制药基地尽快竣工交付、细胞医学产业园投产运营，推动片区发展潜力转化为高端产业实力，打造历下战略性新兴产业领航旗舰。</w:t>
      </w:r>
      <w:r>
        <w:rPr>
          <w:rFonts w:hint="eastAsia" w:ascii="楷体_GB2312" w:hAnsi="楷体_GB2312" w:eastAsia="楷体_GB2312" w:cs="楷体_GB2312"/>
          <w:bCs/>
          <w:sz w:val="32"/>
          <w:szCs w:val="32"/>
        </w:rPr>
        <w:t>（</w:t>
      </w:r>
      <w:r>
        <w:rPr>
          <w:rFonts w:hint="eastAsia" w:ascii="楷体_GB2312" w:hAnsi="楷体_GB2312" w:eastAsia="楷体_GB2312" w:cs="楷体_GB2312"/>
          <w:sz w:val="32"/>
          <w:szCs w:val="32"/>
        </w:rPr>
        <w:t>牵头领导：赵冬梅；</w:t>
      </w:r>
      <w:r>
        <w:rPr>
          <w:rFonts w:hint="eastAsia" w:ascii="楷体_GB2312" w:hAnsi="楷体_GB2312" w:eastAsia="楷体_GB2312" w:cs="楷体_GB2312"/>
          <w:bCs/>
          <w:sz w:val="32"/>
          <w:szCs w:val="32"/>
        </w:rPr>
        <w:t>责任单位：历下控股集团）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（三）统筹基础建设和数智融合应用，打造一流数字先锋城区。</w:t>
      </w:r>
      <w:r>
        <w:rPr>
          <w:rFonts w:hint="eastAsia" w:ascii="仿宋_GB2312" w:hAnsi="仿宋_GB2312" w:eastAsia="仿宋_GB2312" w:cs="仿宋_GB2312"/>
          <w:sz w:val="32"/>
          <w:szCs w:val="32"/>
        </w:rPr>
        <w:t>一体推进算力、算法、算数、算网系统建设，创新数字经济、数字社会、数字政府、数字机关应用场景，为数字济南建设树立标杆、作出示范。</w:t>
      </w:r>
    </w:p>
    <w:p>
      <w:pPr>
        <w:spacing w:line="560" w:lineRule="exact"/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全力推进数字基础设施建设。</w:t>
      </w:r>
      <w:r>
        <w:rPr>
          <w:rFonts w:hint="eastAsia" w:ascii="仿宋_GB2312" w:hAnsi="仿宋_GB2312" w:eastAsia="仿宋_GB2312" w:cs="仿宋_GB2312"/>
          <w:sz w:val="32"/>
          <w:szCs w:val="32"/>
        </w:rPr>
        <w:t>推动算力算法资源协同应用、融合创新，加快推进济南人工智能计算中心建设，提高算力使用效率，逐步扩大算力算法服务规模。</w:t>
      </w:r>
      <w:r>
        <w:rPr>
          <w:rFonts w:hint="eastAsia" w:ascii="楷体_GB2312" w:hAnsi="楷体_GB2312" w:eastAsia="楷体_GB2312" w:cs="楷体_GB2312"/>
          <w:sz w:val="32"/>
          <w:szCs w:val="32"/>
        </w:rPr>
        <w:t>（牵头领导：赵冬梅；责任单位：历下控股集团）</w:t>
      </w:r>
      <w:r>
        <w:rPr>
          <w:rFonts w:hint="eastAsia" w:ascii="仿宋_GB2312" w:hAnsi="仿宋_GB2312" w:eastAsia="仿宋_GB2312" w:cs="仿宋_GB2312"/>
          <w:sz w:val="32"/>
          <w:szCs w:val="32"/>
        </w:rPr>
        <w:t>高标准推动算力网络建设，统筹推进“双千兆”网络协同发展行动、5G应用扬帆行动，</w:t>
      </w:r>
      <w:r>
        <w:rPr>
          <w:rFonts w:hint="eastAsia" w:ascii="楷体_GB2312" w:hAnsi="楷体_GB2312" w:eastAsia="楷体_GB2312" w:cs="楷体_GB2312"/>
          <w:sz w:val="32"/>
          <w:szCs w:val="32"/>
        </w:rPr>
        <w:t>（牵头领导：武毅；责任单位：区工业和信息化局）</w:t>
      </w:r>
      <w:r>
        <w:rPr>
          <w:rFonts w:hint="eastAsia" w:ascii="仿宋_GB2312" w:hAnsi="仿宋_GB2312" w:eastAsia="仿宋_GB2312" w:cs="仿宋_GB2312"/>
          <w:sz w:val="32"/>
          <w:szCs w:val="32"/>
        </w:rPr>
        <w:t>完成“星火·链网”超级节点建设，发挥国家级数字关键基础设施的虹吸作用，大力集聚行业头部企业。</w:t>
      </w:r>
      <w:r>
        <w:rPr>
          <w:rFonts w:hint="eastAsia" w:ascii="楷体_GB2312" w:hAnsi="楷体_GB2312" w:eastAsia="楷体_GB2312" w:cs="楷体_GB2312"/>
          <w:sz w:val="32"/>
          <w:szCs w:val="32"/>
        </w:rPr>
        <w:t>（牵头领导：武毅；责任单位：区工业和信息化局）</w:t>
      </w:r>
      <w:r>
        <w:rPr>
          <w:rFonts w:hint="eastAsia" w:ascii="仿宋_GB2312" w:hAnsi="仿宋_GB2312" w:eastAsia="仿宋_GB2312" w:cs="仿宋_GB2312"/>
          <w:sz w:val="32"/>
          <w:szCs w:val="32"/>
        </w:rPr>
        <w:t>用活用好大数据资源，优化提升区级大数据中心平台和资源库，规范数据归集标准，实现数据高质量归集共享、信息高质量协同衔接，营造高速泛在、云网融合、智能敏捷、绿色低碳的数字生态。</w:t>
      </w:r>
      <w:r>
        <w:rPr>
          <w:rFonts w:hint="eastAsia" w:ascii="楷体_GB2312" w:hAnsi="楷体_GB2312" w:eastAsia="楷体_GB2312" w:cs="楷体_GB2312"/>
          <w:sz w:val="32"/>
          <w:szCs w:val="32"/>
        </w:rPr>
        <w:t>（牵头领导：洪露；牵头单位：区大数据局）</w:t>
      </w:r>
    </w:p>
    <w:p>
      <w:pPr>
        <w:spacing w:line="560" w:lineRule="exact"/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大力实施数字经济引领战略。</w:t>
      </w:r>
      <w:r>
        <w:rPr>
          <w:rFonts w:hint="eastAsia" w:ascii="仿宋_GB2312" w:hAnsi="仿宋_GB2312" w:eastAsia="仿宋_GB2312" w:cs="仿宋_GB2312"/>
          <w:sz w:val="32"/>
          <w:szCs w:val="32"/>
        </w:rPr>
        <w:t>加快推动数字产业化集聚发展，围绕华为、百度、浪潮等行业龙头企业，积极引进上下游生态合作伙伴，加快培育壮大芯片设计、大数据、云计算、智能算法等新一代信息技术产业集群，带动电子信息制造业、软件与信息技术服务业营业收入分别增长10%以上。</w:t>
      </w:r>
      <w:r>
        <w:rPr>
          <w:rFonts w:hint="eastAsia" w:ascii="楷体_GB2312" w:hAnsi="楷体_GB2312" w:eastAsia="楷体_GB2312" w:cs="楷体_GB2312"/>
          <w:sz w:val="32"/>
          <w:szCs w:val="32"/>
        </w:rPr>
        <w:t>（牵头领导：武毅；责任单位：区工业和信息化局）</w:t>
      </w:r>
      <w:r>
        <w:rPr>
          <w:rFonts w:hint="eastAsia" w:ascii="仿宋_GB2312" w:hAnsi="仿宋_GB2312" w:eastAsia="仿宋_GB2312" w:cs="仿宋_GB2312"/>
          <w:sz w:val="32"/>
          <w:szCs w:val="32"/>
        </w:rPr>
        <w:t>积极推进产业数字化提档升级，依托百度“双中心”、华为“三个创新中心”等数字开发平台，大力推进智慧物流、电子商务、工业互联网、智能制造等技术创新突破，赋能传统产业转型升级，力争数字经济核心产业规模突破600亿元，打造加速全区高质量跨越式发展的强劲引擎。</w:t>
      </w:r>
      <w:r>
        <w:rPr>
          <w:rFonts w:hint="eastAsia" w:ascii="楷体_GB2312" w:hAnsi="楷体_GB2312" w:eastAsia="楷体_GB2312" w:cs="楷体_GB2312"/>
          <w:sz w:val="32"/>
          <w:szCs w:val="32"/>
        </w:rPr>
        <w:t>（牵头领导：武毅；责任单位：区工业和信息化局）</w:t>
      </w:r>
    </w:p>
    <w:p>
      <w:pPr>
        <w:spacing w:line="560" w:lineRule="exact"/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着力促进数字治理能力提升。</w:t>
      </w:r>
      <w:r>
        <w:rPr>
          <w:rFonts w:hint="eastAsia" w:ascii="仿宋_GB2312" w:hAnsi="仿宋_GB2312" w:eastAsia="仿宋_GB2312" w:cs="仿宋_GB2312"/>
          <w:sz w:val="32"/>
          <w:szCs w:val="32"/>
        </w:rPr>
        <w:t>全力打造“一网统管”标杆样板，深入推进社会治理网格化，在解放路、解放东路和部分社区、公园等场所建设多功能智慧杆，构建新型城域物联专网，对标国内一流标准实施区城市运行综合指挥中心升级改造，丰富经济监测、城市管理、应急指挥、民生保障应用场景。</w:t>
      </w:r>
      <w:r>
        <w:rPr>
          <w:rFonts w:hint="eastAsia" w:ascii="楷体_GB2312" w:hAnsi="楷体_GB2312" w:eastAsia="楷体_GB2312" w:cs="楷体_GB2312"/>
          <w:sz w:val="32"/>
          <w:szCs w:val="32"/>
        </w:rPr>
        <w:t>（牵头领导：李伟；牵头单位：区城市运行指挥中心；责任单位：区委政法委、区大数据局、区应急管理局、区城市管理局、区工业和信息化局、区商务局、区民政局）</w:t>
      </w:r>
      <w:r>
        <w:rPr>
          <w:rFonts w:hint="eastAsia" w:ascii="仿宋_GB2312" w:hAnsi="仿宋_GB2312" w:eastAsia="仿宋_GB2312" w:cs="仿宋_GB2312"/>
          <w:sz w:val="32"/>
          <w:szCs w:val="32"/>
        </w:rPr>
        <w:t>扎实推进经济管理网格化，运用数字孪生、智能决策技术，全面梳理供应链、人才链、资源链、融资链，做实“米均效益”评价体系，为驻区企业、市场主体数字画像、靶向服务，促进区内企业合作共赢，不断提升经济发展内生动力。</w:t>
      </w:r>
      <w:r>
        <w:rPr>
          <w:rFonts w:hint="eastAsia" w:ascii="楷体_GB2312" w:hAnsi="楷体_GB2312" w:eastAsia="楷体_GB2312" w:cs="楷体_GB2312"/>
          <w:sz w:val="32"/>
          <w:szCs w:val="32"/>
        </w:rPr>
        <w:t>（牵头领导：洪露；责任单位：区商务局）</w:t>
      </w:r>
      <w:r>
        <w:rPr>
          <w:rFonts w:hint="eastAsia" w:ascii="仿宋_GB2312" w:hAnsi="仿宋_GB2312" w:eastAsia="仿宋_GB2312" w:cs="仿宋_GB2312"/>
          <w:sz w:val="32"/>
          <w:szCs w:val="32"/>
        </w:rPr>
        <w:t>深入推进“一网通办”改革，加快建设无证明城市，持续推进“异地通办”“跨省通办”，为企业群众提供用得上、用得起、用得好的信息服务，弥合数字鸿沟、推动数字惠民；</w:t>
      </w:r>
      <w:r>
        <w:rPr>
          <w:rFonts w:hint="eastAsia" w:ascii="楷体_GB2312" w:hAnsi="楷体_GB2312" w:eastAsia="楷体_GB2312" w:cs="楷体_GB2312"/>
          <w:sz w:val="32"/>
          <w:szCs w:val="32"/>
        </w:rPr>
        <w:t>（牵头领导：武毅；牵头单位：区行政审批服务局；责任单位：区大数据局）</w:t>
      </w:r>
      <w:r>
        <w:rPr>
          <w:rFonts w:hint="eastAsia" w:ascii="仿宋_GB2312" w:hAnsi="仿宋_GB2312" w:eastAsia="仿宋_GB2312" w:cs="仿宋_GB2312"/>
          <w:sz w:val="32"/>
          <w:szCs w:val="32"/>
        </w:rPr>
        <w:t>做优“云帮办”服务品牌，将帮办代办工作重心从“线下窗口接待”过渡到“线上客服帮办”，实现政务服务“不打烊”，服务品质“不打折”。</w:t>
      </w:r>
      <w:r>
        <w:rPr>
          <w:rFonts w:hint="eastAsia" w:ascii="楷体_GB2312" w:hAnsi="楷体_GB2312" w:eastAsia="楷体_GB2312" w:cs="楷体_GB2312"/>
          <w:sz w:val="32"/>
          <w:szCs w:val="32"/>
        </w:rPr>
        <w:t>（牵头领导：武毅；责任单位：区行政审批服务局）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（四）统筹改革创新和扩大对外开放，塑造强劲活跃发展氛围。</w:t>
      </w:r>
      <w:r>
        <w:rPr>
          <w:rFonts w:hint="eastAsia" w:ascii="仿宋_GB2312" w:hAnsi="仿宋_GB2312" w:eastAsia="仿宋_GB2312" w:cs="仿宋_GB2312"/>
          <w:sz w:val="32"/>
          <w:szCs w:val="32"/>
        </w:rPr>
        <w:t>聚焦体制机制创新，推动“要素红利”“政策红利”逐渐让位于“创新红利”“制度红利”，让经济活力更加深厚、发展动能更加充沛。</w:t>
      </w:r>
    </w:p>
    <w:p>
      <w:pPr>
        <w:spacing w:line="560" w:lineRule="exact"/>
        <w:ind w:firstLine="643" w:firstLineChars="200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扎实推进自贸试验区制度创新。</w:t>
      </w:r>
      <w:r>
        <w:rPr>
          <w:rFonts w:hint="eastAsia" w:ascii="仿宋_GB2312" w:hAnsi="仿宋_GB2312" w:eastAsia="仿宋_GB2312" w:cs="仿宋_GB2312"/>
          <w:sz w:val="32"/>
          <w:szCs w:val="32"/>
        </w:rPr>
        <w:t>坚持大胆试、大胆闯、自主创，以改革创新的姿态种好“国家试验田”。主动融入“一带一路”战略，积极搭建外贸综合服务平台，整合外贸公共服务资源，帮扶中小企业拓展国际贸易业务，重点发展信息通信、知识产权、医疗教育、跨境金融等新兴服务贸易，打造国家级专业类特色服务出口基地。</w:t>
      </w:r>
      <w:r>
        <w:rPr>
          <w:rFonts w:hint="eastAsia" w:ascii="楷体_GB2312" w:hAnsi="楷体_GB2312" w:eastAsia="楷体_GB2312" w:cs="楷体_GB2312"/>
          <w:sz w:val="32"/>
          <w:szCs w:val="32"/>
        </w:rPr>
        <w:t>（牵头领导：王海清；牵头单位：济南中央商务区管委会；责任单位：区商务局）</w:t>
      </w:r>
      <w:r>
        <w:rPr>
          <w:rFonts w:hint="eastAsia" w:ascii="仿宋_GB2312" w:hAnsi="仿宋_GB2312" w:eastAsia="仿宋_GB2312" w:cs="仿宋_GB2312"/>
          <w:sz w:val="32"/>
          <w:szCs w:val="32"/>
        </w:rPr>
        <w:t>积极探索QFLP基金试点路径，创新外资引进模式，瞄准欧美、日韩等方向和高端制造业等领域大力开展项目对接，不断扩大招商版图；</w:t>
      </w:r>
      <w:r>
        <w:rPr>
          <w:rFonts w:hint="eastAsia" w:ascii="楷体_GB2312" w:hAnsi="楷体_GB2312" w:eastAsia="楷体_GB2312" w:cs="楷体_GB2312"/>
          <w:sz w:val="32"/>
          <w:szCs w:val="32"/>
        </w:rPr>
        <w:t>（牵头领导：王海清；牵头单位：济南中央商务区管委会；责任单位：区投资促进局）</w:t>
      </w:r>
      <w:r>
        <w:rPr>
          <w:rFonts w:hint="eastAsia" w:ascii="仿宋_GB2312" w:hAnsi="仿宋_GB2312" w:eastAsia="仿宋_GB2312" w:cs="仿宋_GB2312"/>
          <w:sz w:val="32"/>
          <w:szCs w:val="32"/>
        </w:rPr>
        <w:t>做大做强跨境电商产业规模，新落户业内知名企业不少于15家，跨境电商进出口额增长15%以上。</w:t>
      </w:r>
      <w:r>
        <w:rPr>
          <w:rFonts w:hint="eastAsia" w:ascii="楷体_GB2312" w:hAnsi="楷体_GB2312" w:eastAsia="楷体_GB2312" w:cs="楷体_GB2312"/>
          <w:sz w:val="32"/>
          <w:szCs w:val="32"/>
        </w:rPr>
        <w:t>（牵头领导：王海清；牵头单位：济南中央商务区管委会；责任单位：区商务局）</w:t>
      </w:r>
      <w:r>
        <w:rPr>
          <w:rFonts w:hint="eastAsia" w:ascii="仿宋_GB2312" w:hAnsi="仿宋_GB2312" w:eastAsia="仿宋_GB2312" w:cs="仿宋_GB2312"/>
          <w:sz w:val="32"/>
          <w:szCs w:val="32"/>
        </w:rPr>
        <w:t>深入落实“双碳”战略，先行先试绿色金融新模式，围绕提升全省碳资产和绿色资产价值开展首创性探索，积极申报气候投融资试点，吸引碳计量、碳交易等相关领域企业落户发展，加快建设全省绿色金融服务聚集区。</w:t>
      </w:r>
      <w:r>
        <w:rPr>
          <w:rFonts w:hint="eastAsia" w:ascii="楷体_GB2312" w:hAnsi="楷体_GB2312" w:eastAsia="楷体_GB2312" w:cs="楷体_GB2312"/>
          <w:sz w:val="32"/>
          <w:szCs w:val="32"/>
        </w:rPr>
        <w:t>（牵头领导：王海清；牵头单位：济南中央商务区管委会；责任单位：区发展和改革局、区地方金融监督管理局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楷体_GB2312" w:hAnsi="楷体_GB2312" w:eastAsia="楷体_GB2312" w:cs="楷体_GB2312"/>
          <w:sz w:val="32"/>
          <w:szCs w:val="32"/>
        </w:rPr>
        <w:t>区生态环境分局）</w:t>
      </w:r>
      <w:r>
        <w:rPr>
          <w:rFonts w:hint="eastAsia" w:ascii="仿宋_GB2312" w:hAnsi="仿宋_GB2312" w:eastAsia="仿宋_GB2312" w:cs="仿宋_GB2312"/>
          <w:sz w:val="32"/>
          <w:szCs w:val="32"/>
        </w:rPr>
        <w:t>全面落实外商投资负面清单制度，持续深化跨境投资、行业准入等方面体制机制创新，全力打造市场化、法治化、国际化营商环境。</w:t>
      </w:r>
      <w:r>
        <w:rPr>
          <w:rFonts w:hint="eastAsia" w:ascii="楷体_GB2312" w:hAnsi="楷体_GB2312" w:eastAsia="楷体_GB2312" w:cs="楷体_GB2312"/>
          <w:sz w:val="32"/>
          <w:szCs w:val="32"/>
        </w:rPr>
        <w:t>（牵头领导：王海清；牵头单位：济南中央商务区管委会；责任单位：区市场监督管理局、区投资促进局）</w:t>
      </w:r>
    </w:p>
    <w:p>
      <w:pPr>
        <w:spacing w:line="560" w:lineRule="exact"/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纵深推进科创金融改革。</w:t>
      </w:r>
      <w:r>
        <w:rPr>
          <w:rFonts w:hint="eastAsia" w:ascii="仿宋_GB2312" w:hAnsi="仿宋_GB2312" w:eastAsia="仿宋_GB2312" w:cs="仿宋_GB2312"/>
          <w:sz w:val="32"/>
          <w:szCs w:val="32"/>
        </w:rPr>
        <w:t>聚焦金融赋能“双创”，鼓励驻区金融机构设立科创金融专营板块，发行以“双创”为特色的知识产权证券化产品。</w:t>
      </w:r>
      <w:r>
        <w:rPr>
          <w:rFonts w:hint="eastAsia" w:ascii="楷体_GB2312" w:hAnsi="楷体_GB2312" w:eastAsia="楷体_GB2312" w:cs="楷体_GB2312"/>
          <w:sz w:val="32"/>
          <w:szCs w:val="32"/>
        </w:rPr>
        <w:t>（牵头领导：武毅；责任单位：区地方金融监督管理局）</w:t>
      </w:r>
      <w:r>
        <w:rPr>
          <w:rFonts w:hint="eastAsia" w:ascii="仿宋_GB2312" w:hAnsi="仿宋_GB2312" w:eastAsia="仿宋_GB2312" w:cs="仿宋_GB2312"/>
          <w:sz w:val="32"/>
          <w:szCs w:val="32"/>
        </w:rPr>
        <w:t>大力培育创新型、高技术企业，全年R&amp;D经费支出增长18%，新增高新技术企业128家，</w:t>
      </w:r>
      <w:r>
        <w:rPr>
          <w:rFonts w:hint="eastAsia" w:ascii="楷体_GB2312" w:hAnsi="楷体_GB2312" w:eastAsia="楷体_GB2312" w:cs="楷体_GB2312"/>
          <w:sz w:val="32"/>
          <w:szCs w:val="32"/>
        </w:rPr>
        <w:t>（牵头领导：洪露；责任单位：区科学技术局）</w:t>
      </w:r>
      <w:r>
        <w:rPr>
          <w:rFonts w:hint="eastAsia" w:ascii="仿宋_GB2312" w:hAnsi="仿宋_GB2312" w:eastAsia="仿宋_GB2312" w:cs="仿宋_GB2312"/>
          <w:sz w:val="32"/>
          <w:szCs w:val="32"/>
        </w:rPr>
        <w:t>联合齐鲁银行、青岛银行、北京银行试点推广“高企贷”，对新认定高新技术企业给予信用贷款。</w:t>
      </w:r>
      <w:r>
        <w:rPr>
          <w:rFonts w:hint="eastAsia" w:ascii="楷体_GB2312" w:hAnsi="楷体_GB2312" w:eastAsia="楷体_GB2312" w:cs="楷体_GB2312"/>
          <w:sz w:val="32"/>
          <w:szCs w:val="32"/>
        </w:rPr>
        <w:t>（牵头领导：武毅；牵头单位：区地方金融监督管理局；责任单位：区科学技术局）</w:t>
      </w:r>
      <w:r>
        <w:rPr>
          <w:rFonts w:hint="eastAsia" w:ascii="仿宋_GB2312" w:hAnsi="仿宋_GB2312" w:eastAsia="仿宋_GB2312" w:cs="仿宋_GB2312"/>
          <w:sz w:val="32"/>
          <w:szCs w:val="32"/>
        </w:rPr>
        <w:t>聚焦科技赋能金融，积极推进网络数据平台与实体经济的产业链、价值链、供应链相结合，优化金融资源配置，切实降低金融机构运行风险和坏账率，加快建设国家战略级数字创新科技园区，打造国内领先的产业互联网服务平台。</w:t>
      </w:r>
      <w:r>
        <w:rPr>
          <w:rFonts w:hint="eastAsia" w:ascii="楷体_GB2312" w:hAnsi="楷体_GB2312" w:eastAsia="楷体_GB2312" w:cs="楷体_GB2312"/>
          <w:sz w:val="32"/>
          <w:szCs w:val="32"/>
        </w:rPr>
        <w:t>（牵头领导：武毅；牵头单位：区工业和信息化局；责任单位：区地方金融监督管理局）</w:t>
      </w:r>
      <w:r>
        <w:rPr>
          <w:rFonts w:hint="eastAsia" w:ascii="仿宋_GB2312" w:hAnsi="仿宋_GB2312" w:eastAsia="仿宋_GB2312" w:cs="仿宋_GB2312"/>
          <w:sz w:val="32"/>
          <w:szCs w:val="32"/>
        </w:rPr>
        <w:t>加大上市公司培育力度，新增后备上市企业2家，推动中创中间件主板上市，正中信息转板北交所科创板。</w:t>
      </w:r>
      <w:r>
        <w:rPr>
          <w:rFonts w:hint="eastAsia" w:ascii="楷体_GB2312" w:hAnsi="楷体_GB2312" w:eastAsia="楷体_GB2312" w:cs="楷体_GB2312"/>
          <w:sz w:val="32"/>
          <w:szCs w:val="32"/>
        </w:rPr>
        <w:t>（牵头领导：武毅；牵头单位：区地方金融监督管理局；责任单位：区科学技术局）</w:t>
      </w:r>
      <w:r>
        <w:rPr>
          <w:rFonts w:hint="eastAsia" w:ascii="仿宋_GB2312" w:hAnsi="仿宋_GB2312" w:eastAsia="仿宋_GB2312" w:cs="仿宋_GB2312"/>
          <w:sz w:val="32"/>
          <w:szCs w:val="32"/>
        </w:rPr>
        <w:t>全面推广“五位一体”科创金融新生态模式，提升济南科创金融大厦运营服务水平，引入股权投资、风险投资、天使基金等金融服务机构，打造省内知名、全国有影响力的“海右”路演品牌，让金融“活水”更好润泽创新土壤，激活科技“第一生产力”。</w:t>
      </w:r>
      <w:r>
        <w:rPr>
          <w:rFonts w:hint="eastAsia" w:ascii="楷体_GB2312" w:hAnsi="楷体_GB2312" w:eastAsia="楷体_GB2312" w:cs="楷体_GB2312"/>
          <w:sz w:val="32"/>
          <w:szCs w:val="32"/>
        </w:rPr>
        <w:t>（牵头领导：武毅；牵头单位：区地方金融监督管理局；责任单位：区科学技术局、历下控股集团）</w:t>
      </w:r>
    </w:p>
    <w:p>
      <w:pPr>
        <w:spacing w:line="560" w:lineRule="exact"/>
        <w:ind w:firstLine="643" w:firstLineChars="200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全力支持民营经济发展。</w:t>
      </w:r>
      <w:r>
        <w:rPr>
          <w:rFonts w:hint="eastAsia" w:ascii="仿宋_GB2312" w:hAnsi="仿宋_GB2312" w:eastAsia="仿宋_GB2312" w:cs="仿宋_GB2312"/>
          <w:sz w:val="32"/>
          <w:szCs w:val="32"/>
        </w:rPr>
        <w:t>始终坚持“两个毫不动摇”，扎实开展助力民营企业发展专项行动。</w:t>
      </w:r>
      <w:r>
        <w:rPr>
          <w:rFonts w:hint="eastAsia" w:ascii="楷体_GB2312" w:hAnsi="楷体_GB2312" w:eastAsia="楷体_GB2312" w:cs="楷体_GB2312"/>
          <w:sz w:val="32"/>
          <w:szCs w:val="32"/>
        </w:rPr>
        <w:t>（牵头领导：武毅；责任单位：区工业和信息化局）</w:t>
      </w:r>
      <w:r>
        <w:rPr>
          <w:rFonts w:hint="eastAsia" w:ascii="仿宋_GB2312" w:hAnsi="仿宋_GB2312" w:eastAsia="仿宋_GB2312" w:cs="仿宋_GB2312"/>
          <w:sz w:val="32"/>
          <w:szCs w:val="32"/>
        </w:rPr>
        <w:t>强化金融支持，设立企业融资担保资金池，引导金融机构开展“银政保”业务，建立完善中小企业融资风险补偿机制，切实解决融资难、融资贵问题；</w:t>
      </w:r>
      <w:r>
        <w:rPr>
          <w:rFonts w:hint="eastAsia" w:ascii="楷体_GB2312" w:hAnsi="楷体_GB2312" w:eastAsia="楷体_GB2312" w:cs="楷体_GB2312"/>
          <w:sz w:val="32"/>
          <w:szCs w:val="32"/>
        </w:rPr>
        <w:t>（牵头领导：武毅；牵头单位：区财政局；责任单位：区地方金融监督管理局）</w:t>
      </w:r>
      <w:r>
        <w:rPr>
          <w:rFonts w:hint="eastAsia" w:ascii="仿宋_GB2312" w:hAnsi="仿宋_GB2312" w:eastAsia="仿宋_GB2312" w:cs="仿宋_GB2312"/>
          <w:sz w:val="32"/>
          <w:szCs w:val="32"/>
        </w:rPr>
        <w:t>探索合伙人创业贷、投贷联动等新模式，全力支持创新创业。</w:t>
      </w:r>
      <w:r>
        <w:rPr>
          <w:rFonts w:hint="eastAsia" w:ascii="楷体_GB2312" w:hAnsi="楷体_GB2312" w:eastAsia="楷体_GB2312" w:cs="楷体_GB2312"/>
          <w:sz w:val="32"/>
          <w:szCs w:val="32"/>
        </w:rPr>
        <w:t>（牵头领导：武毅；牵头单位：区工业和信息化局；责任单位：区地方金融监督管理局）</w:t>
      </w:r>
      <w:r>
        <w:rPr>
          <w:rFonts w:hint="eastAsia" w:ascii="仿宋_GB2312" w:hAnsi="仿宋_GB2312" w:eastAsia="仿宋_GB2312" w:cs="仿宋_GB2312"/>
          <w:sz w:val="32"/>
          <w:szCs w:val="32"/>
        </w:rPr>
        <w:t>强化政策支持，持续开展“送政策进企业”活动，加强各类惠企政策宣传推介，深入推进“免审即享”，建立政策兑现跟踪落实机制。</w:t>
      </w:r>
      <w:r>
        <w:rPr>
          <w:rFonts w:hint="eastAsia" w:ascii="楷体_GB2312" w:hAnsi="楷体_GB2312" w:eastAsia="楷体_GB2312" w:cs="楷体_GB2312"/>
          <w:sz w:val="32"/>
          <w:szCs w:val="32"/>
        </w:rPr>
        <w:t>（牵头领导：武毅；牵头单位：区工业和信息化局；责任单位：区发展和改革局、区商务局、区人力资源和社会保障局、区科学技术局、区地方金融监督管理局、区文化和旅游局、区行政审批服务局、区市场监督管理局）</w:t>
      </w:r>
      <w:r>
        <w:rPr>
          <w:rFonts w:hint="eastAsia" w:ascii="仿宋_GB2312" w:hAnsi="仿宋_GB2312" w:eastAsia="仿宋_GB2312" w:cs="仿宋_GB2312"/>
          <w:sz w:val="32"/>
          <w:szCs w:val="32"/>
        </w:rPr>
        <w:t>强化市场支持，在政府采购、工程建设领域为民营企业提供公平竞争环境，发挥中小企业发展联盟、金融企业联盟等平台作用，开展企业“牵手行动”，积极搭建产业链、供应链、资金链沟通桥梁。</w:t>
      </w:r>
      <w:r>
        <w:rPr>
          <w:rFonts w:hint="eastAsia" w:ascii="楷体_GB2312" w:hAnsi="楷体_GB2312" w:eastAsia="楷体_GB2312" w:cs="楷体_GB2312"/>
          <w:sz w:val="32"/>
          <w:szCs w:val="32"/>
        </w:rPr>
        <w:t>（牵头领导：武毅；牵头单位：区工业和信息化局；责任单位：区地方金融监督管理局）</w:t>
      </w:r>
      <w:r>
        <w:rPr>
          <w:rFonts w:hint="eastAsia" w:ascii="仿宋_GB2312" w:hAnsi="仿宋_GB2312" w:eastAsia="仿宋_GB2312" w:cs="仿宋_GB2312"/>
          <w:sz w:val="32"/>
          <w:szCs w:val="32"/>
        </w:rPr>
        <w:t>强化数据支持，用好市场主体大数据资源，加快推进“政银企”数据共享、互联互通。强化创新创业环境营造，健全完善政企沟通联络机制，定期举办企业家圆桌会、恳谈会、创客茶吧等活动，邀请投资机构、优秀企业家参与创客大赛、项目路演，留住更多前景好、能落地的创业项目；</w:t>
      </w:r>
      <w:r>
        <w:rPr>
          <w:rFonts w:hint="eastAsia" w:ascii="楷体_GB2312" w:hAnsi="楷体_GB2312" w:eastAsia="楷体_GB2312" w:cs="楷体_GB2312"/>
          <w:sz w:val="32"/>
          <w:szCs w:val="32"/>
        </w:rPr>
        <w:t>（牵头领导：武毅；责任单位：区工业和信息化局）</w:t>
      </w:r>
      <w:r>
        <w:rPr>
          <w:rFonts w:hint="eastAsia" w:ascii="仿宋_GB2312" w:hAnsi="仿宋_GB2312" w:eastAsia="仿宋_GB2312" w:cs="仿宋_GB2312"/>
          <w:sz w:val="32"/>
          <w:szCs w:val="32"/>
        </w:rPr>
        <w:t>发挥国有基金平台作用，强化与知名投资机构合作，支持初创企业发展壮大，推进“众创空间-孵化器-加速器-产业园区”全链条孵化体系建设，努力形成大企业“顶天立地”、中小企业“铺天盖地”的良好氛围，将历下打造成为民企投资首选区。</w:t>
      </w:r>
      <w:r>
        <w:rPr>
          <w:rFonts w:hint="eastAsia" w:ascii="楷体_GB2312" w:hAnsi="楷体_GB2312" w:eastAsia="楷体_GB2312" w:cs="楷体_GB2312"/>
          <w:sz w:val="32"/>
          <w:szCs w:val="32"/>
        </w:rPr>
        <w:t>（牵头领导：武毅；牵头单位：区工业和信息化局；责任单位：区科学技术局、区人力资源和社会保障局、历下财鑫基金投资集团）</w:t>
      </w:r>
    </w:p>
    <w:p>
      <w:pPr>
        <w:spacing w:line="560" w:lineRule="exact"/>
        <w:ind w:firstLine="643" w:firstLineChars="200"/>
        <w:rPr>
          <w:rFonts w:ascii="楷体_GB2312" w:hAnsi="楷体_GB2312" w:eastAsia="楷体_GB2312" w:cs="楷体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着力提升招商稳商质效。</w:t>
      </w:r>
      <w:r>
        <w:rPr>
          <w:rFonts w:hint="eastAsia" w:ascii="仿宋_GB2312" w:hAnsi="仿宋_GB2312" w:eastAsia="仿宋_GB2312" w:cs="仿宋_GB2312"/>
          <w:sz w:val="32"/>
          <w:szCs w:val="32"/>
        </w:rPr>
        <w:t>围绕产业升级需求、经济贡献需求、城市发展需求，建立健全优选项目评估机制，充分发挥城市合伙人、专家智库等各类资源渠道引流作用，大力开展载体招商、产业链招商、专业机构招商、以商招商。</w:t>
      </w:r>
      <w:r>
        <w:rPr>
          <w:rFonts w:hint="eastAsia" w:ascii="楷体_GB2312" w:hAnsi="楷体_GB2312" w:eastAsia="楷体_GB2312" w:cs="楷体_GB2312"/>
          <w:sz w:val="32"/>
          <w:szCs w:val="32"/>
        </w:rPr>
        <w:t>（牵头领导：洪露；责任单位：区投资促进局）</w:t>
      </w:r>
      <w:r>
        <w:rPr>
          <w:rFonts w:hint="eastAsia" w:ascii="仿宋_GB2312" w:eastAsia="仿宋_GB2312"/>
          <w:sz w:val="32"/>
          <w:szCs w:val="32"/>
        </w:rPr>
        <w:t>建立投行思维，</w:t>
      </w:r>
      <w:r>
        <w:rPr>
          <w:rFonts w:hint="eastAsia" w:ascii="仿宋_GB2312" w:hAnsi="仿宋_GB2312" w:eastAsia="仿宋_GB2312" w:cs="仿宋_GB2312"/>
          <w:sz w:val="32"/>
          <w:szCs w:val="32"/>
        </w:rPr>
        <w:t>强化政策引导，列支产业扶持资金15亿元，围绕重点项目落地、行业龙头引进、新兴产业布局精准发力；</w:t>
      </w:r>
      <w:r>
        <w:rPr>
          <w:rFonts w:hint="eastAsia" w:ascii="楷体_GB2312" w:hAnsi="楷体_GB2312" w:eastAsia="楷体_GB2312" w:cs="楷体_GB2312"/>
          <w:kern w:val="0"/>
          <w:sz w:val="32"/>
          <w:szCs w:val="32"/>
          <w:lang w:bidi="ar"/>
        </w:rPr>
        <w:t>（牵头领导：洪露；牵头单位：区投资促进局；责任单位：区财政局）</w:t>
      </w:r>
      <w:r>
        <w:rPr>
          <w:rFonts w:hint="eastAsia" w:ascii="仿宋_GB2312" w:hAnsi="仿宋_GB2312" w:eastAsia="仿宋_GB2312" w:cs="仿宋_GB2312"/>
          <w:sz w:val="32"/>
          <w:szCs w:val="32"/>
        </w:rPr>
        <w:t>再投入3亿元财政资金，做大政府引导基金规模，释放“四两拨千斤”的杠杆效应，创新企业项目引进模式，科学把握资金投向，为产业发展投出未来。</w:t>
      </w:r>
      <w:r>
        <w:rPr>
          <w:rFonts w:hint="eastAsia" w:ascii="楷体_GB2312" w:hAnsi="楷体_GB2312" w:eastAsia="楷体_GB2312" w:cs="楷体_GB2312"/>
          <w:sz w:val="32"/>
          <w:szCs w:val="32"/>
        </w:rPr>
        <w:t>（牵头领导：武毅；牵头单位：区财政局；责任单位：历下财鑫基金投资集团）</w:t>
      </w:r>
      <w:r>
        <w:rPr>
          <w:rFonts w:hint="eastAsia" w:ascii="仿宋_GB2312" w:hAnsi="仿宋_GB2312" w:eastAsia="仿宋_GB2312" w:cs="仿宋_GB2312"/>
          <w:sz w:val="32"/>
          <w:szCs w:val="32"/>
        </w:rPr>
        <w:t>深度参与跨国公司高层对话会、进博会、儒商大会等大型活动，实施国际国内重点城市招商推介行动，扩大“投资历下”影响力。</w:t>
      </w:r>
      <w:r>
        <w:rPr>
          <w:rFonts w:hint="eastAsia" w:ascii="楷体_GB2312" w:hAnsi="楷体_GB2312" w:eastAsia="楷体_GB2312" w:cs="楷体_GB2312"/>
          <w:sz w:val="32"/>
          <w:szCs w:val="32"/>
        </w:rPr>
        <w:t>（牵头领导：洪露；牵头单位：区投资促进局；责任单位：区商务局）</w:t>
      </w:r>
      <w:r>
        <w:rPr>
          <w:rFonts w:hint="eastAsia" w:ascii="仿宋_GB2312" w:hAnsi="仿宋_GB2312" w:eastAsia="仿宋_GB2312" w:cs="仿宋_GB2312"/>
          <w:sz w:val="32"/>
          <w:szCs w:val="32"/>
        </w:rPr>
        <w:t>做好驻区省属企业服务保障，积极争取省内重大投资项目落地。</w:t>
      </w:r>
      <w:r>
        <w:rPr>
          <w:rFonts w:hint="eastAsia" w:ascii="楷体_GB2312" w:hAnsi="楷体_GB2312" w:eastAsia="楷体_GB2312" w:cs="楷体_GB2312"/>
          <w:kern w:val="0"/>
          <w:sz w:val="32"/>
          <w:szCs w:val="32"/>
          <w:lang w:bidi="ar"/>
        </w:rPr>
        <w:t>（牵头领导：洪露；牵头单位：区投资促进局；责任单位：区发展和改革局、区财政局）</w:t>
      </w:r>
      <w:r>
        <w:rPr>
          <w:rFonts w:hint="eastAsia" w:ascii="仿宋_GB2312" w:hAnsi="仿宋_GB2312" w:eastAsia="仿宋_GB2312" w:cs="仿宋_GB2312"/>
          <w:sz w:val="32"/>
          <w:szCs w:val="32"/>
        </w:rPr>
        <w:t>牢固树立“不安商等于白招商”的理念，推进“招商服务年”成果制度化，做实做细常态化包联服务机制，推广“泉管家”服务模式，以“面对面”了解情况、“点对点”解答问题的“保姆式”服务，让企业发展能安心、有信心。</w:t>
      </w:r>
      <w:r>
        <w:rPr>
          <w:rFonts w:hint="eastAsia" w:ascii="楷体_GB2312" w:hAnsi="楷体_GB2312" w:eastAsia="楷体_GB2312" w:cs="楷体_GB2312"/>
          <w:kern w:val="0"/>
          <w:sz w:val="32"/>
          <w:szCs w:val="32"/>
          <w:lang w:bidi="ar"/>
        </w:rPr>
        <w:t>（牵头领导：洪露；牵头单位：区投资促进局；责任单位：济南中央商务区管委会）</w:t>
      </w:r>
    </w:p>
    <w:p>
      <w:pPr>
        <w:spacing w:line="560" w:lineRule="exact"/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打造最优人才发展生态。</w:t>
      </w:r>
      <w:r>
        <w:rPr>
          <w:rFonts w:hint="eastAsia" w:ascii="仿宋_GB2312" w:hAnsi="仿宋_GB2312" w:eastAsia="仿宋_GB2312" w:cs="仿宋_GB2312"/>
          <w:sz w:val="32"/>
          <w:szCs w:val="32"/>
        </w:rPr>
        <w:t>深化“五链”融合，编制高校优势培养专业、企业紧缺人才需求、产业重点攻关项目“三张清单”，启动“名校优才”历下行活动，推动人才链、产业链共促进。</w:t>
      </w:r>
      <w:r>
        <w:rPr>
          <w:rFonts w:hint="eastAsia" w:ascii="楷体_GB2312" w:hAnsi="楷体_GB2312" w:eastAsia="楷体_GB2312" w:cs="楷体_GB2312"/>
          <w:sz w:val="32"/>
          <w:szCs w:val="32"/>
        </w:rPr>
        <w:t>（牵头领导：朱英涛；牵头单位：区委组织部；责任单位：区人力资源和社会保障局）</w:t>
      </w:r>
      <w:r>
        <w:rPr>
          <w:rFonts w:hint="eastAsia" w:ascii="仿宋_GB2312" w:hAnsi="仿宋_GB2312" w:eastAsia="仿宋_GB2312" w:cs="仿宋_GB2312"/>
          <w:sz w:val="32"/>
          <w:szCs w:val="32"/>
        </w:rPr>
        <w:t>积极对接山东大学等知名高校，打造校友经济产业园，成立校友会联盟，探索建设成果创业中心，推动人才链、创新链同赋能。</w:t>
      </w:r>
      <w:r>
        <w:rPr>
          <w:rFonts w:hint="eastAsia" w:ascii="楷体_GB2312" w:hAnsi="楷体_GB2312" w:eastAsia="楷体_GB2312" w:cs="楷体_GB2312"/>
          <w:kern w:val="0"/>
          <w:sz w:val="32"/>
          <w:szCs w:val="32"/>
          <w:lang w:bidi="ar"/>
        </w:rPr>
        <w:t>（</w:t>
      </w:r>
      <w:r>
        <w:rPr>
          <w:rFonts w:hint="eastAsia" w:ascii="楷体_GB2312" w:hAnsi="楷体_GB2312" w:eastAsia="楷体_GB2312" w:cs="楷体_GB2312"/>
          <w:sz w:val="32"/>
          <w:szCs w:val="32"/>
        </w:rPr>
        <w:t>牵头领导：朱英涛；牵头单位：区委组织部；</w:t>
      </w:r>
      <w:r>
        <w:rPr>
          <w:rFonts w:hint="eastAsia" w:ascii="楷体_GB2312" w:hAnsi="楷体_GB2312" w:eastAsia="楷体_GB2312" w:cs="楷体_GB2312"/>
          <w:kern w:val="0"/>
          <w:sz w:val="32"/>
          <w:szCs w:val="32"/>
          <w:lang w:bidi="ar"/>
        </w:rPr>
        <w:t>责任单位：区科学技术局）</w:t>
      </w:r>
      <w:r>
        <w:rPr>
          <w:rFonts w:hint="eastAsia" w:ascii="仿宋_GB2312" w:hAnsi="仿宋_GB2312" w:eastAsia="仿宋_GB2312" w:cs="仿宋_GB2312"/>
          <w:sz w:val="32"/>
          <w:szCs w:val="32"/>
        </w:rPr>
        <w:t>创新人才支持资金“拨改投”模式，加快发展科创引导基金、人才创投基金，实施人才企业上市“登峰计划”，全力支持3-5家领军企业登陆资本市场，推动人才链、资本链互成就。</w:t>
      </w:r>
      <w:r>
        <w:rPr>
          <w:rFonts w:hint="eastAsia" w:ascii="楷体_GB2312" w:hAnsi="楷体_GB2312" w:eastAsia="楷体_GB2312" w:cs="楷体_GB2312"/>
          <w:kern w:val="0"/>
          <w:sz w:val="32"/>
          <w:szCs w:val="32"/>
          <w:lang w:bidi="ar"/>
        </w:rPr>
        <w:t>（</w:t>
      </w:r>
      <w:r>
        <w:rPr>
          <w:rFonts w:hint="eastAsia" w:ascii="楷体_GB2312" w:hAnsi="楷体_GB2312" w:eastAsia="楷体_GB2312" w:cs="楷体_GB2312"/>
          <w:sz w:val="32"/>
          <w:szCs w:val="32"/>
        </w:rPr>
        <w:t>牵头领导：朱英涛；牵头单位：区委组织部；</w:t>
      </w:r>
      <w:r>
        <w:rPr>
          <w:rFonts w:hint="eastAsia" w:ascii="楷体_GB2312" w:hAnsi="楷体_GB2312" w:eastAsia="楷体_GB2312" w:cs="楷体_GB2312"/>
          <w:kern w:val="0"/>
          <w:sz w:val="32"/>
          <w:szCs w:val="32"/>
          <w:lang w:bidi="ar"/>
        </w:rPr>
        <w:t>责任单位：区地方金融监督管理局）</w:t>
      </w:r>
      <w:r>
        <w:rPr>
          <w:rFonts w:hint="eastAsia" w:ascii="仿宋_GB2312" w:hAnsi="仿宋_GB2312" w:eastAsia="仿宋_GB2312" w:cs="仿宋_GB2312"/>
          <w:sz w:val="32"/>
          <w:szCs w:val="32"/>
        </w:rPr>
        <w:t>成立高层次人才发展促进会，举办历山英才创业营，推出“创无忧”服务礼包，升级线上平台功能，实现人才政策“一网查询”、人才需求“一站受理”、人才服务“一键集成”，推动人才链、服务链共提升。</w:t>
      </w:r>
      <w:r>
        <w:rPr>
          <w:rFonts w:hint="eastAsia" w:ascii="楷体_GB2312" w:hAnsi="楷体_GB2312" w:eastAsia="楷体_GB2312" w:cs="楷体_GB2312"/>
          <w:sz w:val="32"/>
          <w:szCs w:val="32"/>
        </w:rPr>
        <w:t>（牵头领导：朱英涛；牵头单位：区委组织部；责任单位：区人力资源和社会保障局）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（五）统筹精细塑造和全面系统治理，擦亮文明宜居城市名片。</w:t>
      </w:r>
      <w:r>
        <w:rPr>
          <w:rFonts w:hint="eastAsia" w:ascii="仿宋_GB2312" w:hAnsi="仿宋_GB2312" w:eastAsia="仿宋_GB2312" w:cs="仿宋_GB2312"/>
          <w:sz w:val="32"/>
          <w:szCs w:val="32"/>
        </w:rPr>
        <w:t>坚持内涵式、集约型、绿色化城市治理路径，围绕省会建设要求、群众热切诉求、城市发展需求用心用力，提升中心城区魅力活力竞争力。</w:t>
      </w:r>
    </w:p>
    <w:p>
      <w:pPr>
        <w:spacing w:line="560" w:lineRule="exact"/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加快完善城市功能配套。</w:t>
      </w:r>
      <w:r>
        <w:rPr>
          <w:rFonts w:hint="eastAsia" w:ascii="仿宋_GB2312" w:hAnsi="仿宋_GB2312" w:eastAsia="仿宋_GB2312" w:cs="仿宋_GB2312"/>
          <w:sz w:val="32"/>
          <w:szCs w:val="32"/>
        </w:rPr>
        <w:t>实施明湖东路、黄台南路、轻风路整治提升，</w:t>
      </w:r>
      <w:r>
        <w:rPr>
          <w:rFonts w:hint="eastAsia" w:ascii="楷体_GB2312" w:hAnsi="楷体_GB2312" w:eastAsia="楷体_GB2312" w:cs="楷体_GB2312"/>
          <w:sz w:val="32"/>
          <w:szCs w:val="32"/>
        </w:rPr>
        <w:t>（牵头领导：于杰；责任单位：区市政工程服务中心）</w:t>
      </w:r>
      <w:r>
        <w:rPr>
          <w:rFonts w:hint="eastAsia" w:ascii="仿宋_GB2312" w:hAnsi="仿宋_GB2312" w:eastAsia="仿宋_GB2312" w:cs="仿宋_GB2312"/>
          <w:sz w:val="32"/>
          <w:szCs w:val="32"/>
        </w:rPr>
        <w:t>新建兴发东巷、仁智街边沟桥梁，</w:t>
      </w:r>
      <w:r>
        <w:rPr>
          <w:rFonts w:hint="eastAsia" w:ascii="楷体_GB2312" w:hAnsi="楷体_GB2312" w:eastAsia="楷体_GB2312" w:cs="楷体_GB2312"/>
          <w:sz w:val="32"/>
          <w:szCs w:val="32"/>
        </w:rPr>
        <w:t>（牵头领导：于杰；责任单位：区市政工程服务中心）</w:t>
      </w:r>
      <w:r>
        <w:rPr>
          <w:rFonts w:hint="eastAsia" w:ascii="仿宋_GB2312" w:hAnsi="仿宋_GB2312" w:eastAsia="仿宋_GB2312" w:cs="仿宋_GB2312"/>
          <w:sz w:val="32"/>
          <w:szCs w:val="32"/>
        </w:rPr>
        <w:t>保障轨道交通4号线、6号线、7号线加快建设，不断优化区域交通体系。</w:t>
      </w:r>
      <w:r>
        <w:rPr>
          <w:rFonts w:hint="eastAsia" w:ascii="楷体_GB2312" w:hAnsi="楷体_GB2312" w:eastAsia="楷体_GB2312" w:cs="楷体_GB2312"/>
          <w:sz w:val="32"/>
          <w:szCs w:val="32"/>
        </w:rPr>
        <w:t>（牵头领导：于杰；责任单位：区市政工程服务中心）</w:t>
      </w:r>
      <w:r>
        <w:rPr>
          <w:rFonts w:hint="eastAsia" w:ascii="仿宋_GB2312" w:hAnsi="仿宋_GB2312" w:eastAsia="仿宋_GB2312" w:cs="仿宋_GB2312"/>
          <w:sz w:val="32"/>
          <w:szCs w:val="32"/>
        </w:rPr>
        <w:t>启动山水沟生态提升工程，</w:t>
      </w:r>
      <w:r>
        <w:rPr>
          <w:rFonts w:hint="eastAsia" w:ascii="楷体_GB2312" w:hAnsi="楷体_GB2312" w:eastAsia="楷体_GB2312" w:cs="楷体_GB2312"/>
          <w:sz w:val="32"/>
          <w:szCs w:val="32"/>
        </w:rPr>
        <w:t>（牵头领导：于杰；责任单位：区水务局）</w:t>
      </w:r>
      <w:r>
        <w:rPr>
          <w:rFonts w:ascii="仿宋_GB2312" w:hAnsi="宋体" w:eastAsia="仿宋_GB2312" w:cs="仿宋_GB2312"/>
          <w:kern w:val="0"/>
          <w:sz w:val="32"/>
          <w:szCs w:val="32"/>
          <w:lang w:bidi="ar"/>
        </w:rPr>
        <w:t>强化辖区25条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bidi="ar"/>
        </w:rPr>
        <w:t>河道内源治理，严查河道隐患，更新河道安全设施，保持长治久清，</w:t>
      </w:r>
      <w:r>
        <w:rPr>
          <w:rFonts w:hint="eastAsia" w:ascii="仿宋_GB2312" w:hAnsi="仿宋_GB2312" w:eastAsia="仿宋_GB2312" w:cs="仿宋_GB2312"/>
          <w:sz w:val="32"/>
          <w:szCs w:val="32"/>
        </w:rPr>
        <w:t>为居民群众提供更多河边漫步的好去处。</w:t>
      </w:r>
      <w:r>
        <w:rPr>
          <w:rFonts w:hint="eastAsia" w:ascii="楷体_GB2312" w:hAnsi="楷体_GB2312" w:eastAsia="楷体_GB2312" w:cs="楷体_GB2312"/>
          <w:sz w:val="32"/>
          <w:szCs w:val="32"/>
        </w:rPr>
        <w:t>（牵头领导：于杰；责任单位：区水务局）</w:t>
      </w:r>
      <w:r>
        <w:rPr>
          <w:rFonts w:hint="eastAsia" w:ascii="仿宋_GB2312" w:hAnsi="仿宋_GB2312" w:eastAsia="仿宋_GB2312" w:cs="仿宋_GB2312"/>
          <w:sz w:val="32"/>
          <w:szCs w:val="32"/>
        </w:rPr>
        <w:t>梳理全区杆线整治、停车设施、街巷更新需求，包装策划政府专项债券项目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bidi="ar"/>
        </w:rPr>
        <w:t>，抓好佛山苑等24处老旧小区改造提升，</w:t>
      </w:r>
      <w:r>
        <w:rPr>
          <w:rFonts w:hint="eastAsia" w:ascii="楷体_GB2312" w:hAnsi="楷体_GB2312" w:eastAsia="楷体_GB2312" w:cs="楷体_GB2312"/>
          <w:kern w:val="0"/>
          <w:sz w:val="32"/>
          <w:szCs w:val="32"/>
          <w:lang w:bidi="ar"/>
        </w:rPr>
        <w:t>（</w:t>
      </w:r>
      <w:r>
        <w:rPr>
          <w:rFonts w:hint="eastAsia" w:ascii="楷体_GB2312" w:hAnsi="楷体_GB2312" w:eastAsia="楷体_GB2312" w:cs="楷体_GB2312"/>
          <w:sz w:val="32"/>
          <w:szCs w:val="32"/>
        </w:rPr>
        <w:t>牵头领导：赵冬梅；</w:t>
      </w:r>
      <w:r>
        <w:rPr>
          <w:rFonts w:hint="eastAsia" w:ascii="楷体_GB2312" w:hAnsi="楷体_GB2312" w:eastAsia="楷体_GB2312" w:cs="楷体_GB2312"/>
          <w:kern w:val="0"/>
          <w:sz w:val="32"/>
          <w:szCs w:val="32"/>
          <w:lang w:bidi="ar"/>
        </w:rPr>
        <w:t>牵头单位：区住房和城市建设局；责任单位：</w:t>
      </w:r>
      <w:r>
        <w:rPr>
          <w:rFonts w:hint="eastAsia" w:ascii="楷体_GB2312" w:hAnsi="楷体_GB2312" w:eastAsia="楷体_GB2312" w:cs="楷体_GB2312"/>
          <w:sz w:val="32"/>
          <w:szCs w:val="32"/>
        </w:rPr>
        <w:t>历下城市发展集团</w:t>
      </w:r>
      <w:r>
        <w:rPr>
          <w:rFonts w:hint="eastAsia" w:ascii="楷体_GB2312" w:hAnsi="楷体_GB2312" w:eastAsia="楷体_GB2312" w:cs="楷体_GB2312"/>
          <w:kern w:val="0"/>
          <w:sz w:val="32"/>
          <w:szCs w:val="32"/>
          <w:lang w:bidi="ar"/>
        </w:rPr>
        <w:t>）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bidi="ar"/>
        </w:rPr>
        <w:t>合理布点菜市场、便利店等</w:t>
      </w:r>
      <w:r>
        <w:rPr>
          <w:rFonts w:hint="eastAsia" w:ascii="仿宋_GB2312" w:hAnsi="仿宋_GB2312" w:eastAsia="仿宋_GB2312" w:cs="仿宋_GB2312"/>
          <w:sz w:val="32"/>
          <w:szCs w:val="32"/>
        </w:rPr>
        <w:t>各类便民服务设施，</w:t>
      </w:r>
      <w:r>
        <w:rPr>
          <w:rFonts w:hint="eastAsia" w:ascii="楷体_GB2312" w:hAnsi="楷体_GB2312" w:eastAsia="楷体_GB2312" w:cs="楷体_GB2312"/>
          <w:kern w:val="0"/>
          <w:sz w:val="32"/>
          <w:szCs w:val="32"/>
          <w:lang w:bidi="ar"/>
        </w:rPr>
        <w:t>（</w:t>
      </w:r>
      <w:r>
        <w:rPr>
          <w:rFonts w:hint="eastAsia" w:ascii="楷体_GB2312" w:hAnsi="楷体_GB2312" w:eastAsia="楷体_GB2312" w:cs="楷体_GB2312"/>
          <w:sz w:val="32"/>
          <w:szCs w:val="32"/>
        </w:rPr>
        <w:t>牵头领导：洪露；</w:t>
      </w:r>
      <w:r>
        <w:rPr>
          <w:rFonts w:hint="eastAsia" w:ascii="楷体_GB2312" w:hAnsi="楷体_GB2312" w:eastAsia="楷体_GB2312" w:cs="楷体_GB2312"/>
          <w:kern w:val="0"/>
          <w:sz w:val="32"/>
          <w:szCs w:val="32"/>
          <w:lang w:bidi="ar"/>
        </w:rPr>
        <w:t>责任单位：区商务局）</w:t>
      </w:r>
      <w:r>
        <w:rPr>
          <w:rFonts w:hint="eastAsia" w:ascii="仿宋_GB2312" w:hAnsi="仿宋_GB2312" w:eastAsia="仿宋_GB2312" w:cs="仿宋_GB2312"/>
          <w:sz w:val="32"/>
          <w:szCs w:val="32"/>
        </w:rPr>
        <w:t>留住坊间烟火气。</w:t>
      </w:r>
    </w:p>
    <w:p>
      <w:pPr>
        <w:spacing w:line="560" w:lineRule="exact"/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大力整治城市管理顽疾。</w:t>
      </w:r>
      <w:r>
        <w:rPr>
          <w:rFonts w:hint="eastAsia" w:ascii="仿宋_GB2312" w:hAnsi="仿宋_GB2312" w:eastAsia="仿宋_GB2312" w:cs="仿宋_GB2312"/>
          <w:sz w:val="32"/>
          <w:szCs w:val="32"/>
        </w:rPr>
        <w:t>强化城市管理日常巡查执法，严查违法违章建设，重拳整治城市“八乱”，维护良好市容秩序。</w:t>
      </w:r>
      <w:r>
        <w:rPr>
          <w:rFonts w:hint="eastAsia" w:ascii="楷体_GB2312" w:hAnsi="楷体_GB2312" w:eastAsia="楷体_GB2312" w:cs="楷体_GB2312"/>
          <w:sz w:val="32"/>
          <w:szCs w:val="32"/>
        </w:rPr>
        <w:t>（牵头领导：于杰；责任单位:区城市管理局）</w:t>
      </w:r>
      <w:r>
        <w:rPr>
          <w:rFonts w:hint="eastAsia" w:ascii="仿宋_GB2312" w:hAnsi="仿宋_GB2312" w:eastAsia="仿宋_GB2312" w:cs="仿宋_GB2312"/>
          <w:sz w:val="32"/>
          <w:szCs w:val="32"/>
        </w:rPr>
        <w:t>深化交通拥堵治理，用好高德、百度交通数据，分析拥堵指数和群众诉求，制定“一路口一方案”，优化调整信号配时、增设潮汐车道，切实提升通行效率。</w:t>
      </w:r>
      <w:r>
        <w:rPr>
          <w:rFonts w:hint="eastAsia" w:ascii="楷体_GB2312" w:hAnsi="楷体_GB2312" w:eastAsia="楷体_GB2312" w:cs="楷体_GB2312"/>
          <w:sz w:val="32"/>
          <w:szCs w:val="32"/>
        </w:rPr>
        <w:t>（牵头领导：于杰；责任单位:区交警大队）</w:t>
      </w:r>
      <w:r>
        <w:rPr>
          <w:rFonts w:hint="eastAsia" w:ascii="仿宋_GB2312" w:hAnsi="仿宋_GB2312" w:eastAsia="仿宋_GB2312" w:cs="仿宋_GB2312"/>
          <w:sz w:val="32"/>
          <w:szCs w:val="32"/>
        </w:rPr>
        <w:t>加快实施历山路以西千佛山片区、历园片区雨污水管网改造工程，着力解决老旧小区污水冒溢直排问题。</w:t>
      </w:r>
      <w:r>
        <w:rPr>
          <w:rFonts w:hint="eastAsia" w:ascii="楷体_GB2312" w:hAnsi="楷体_GB2312" w:eastAsia="楷体_GB2312" w:cs="楷体_GB2312"/>
          <w:sz w:val="32"/>
          <w:szCs w:val="32"/>
        </w:rPr>
        <w:t>（牵头领导：于杰；责任单位:区水务局）</w:t>
      </w:r>
      <w:r>
        <w:rPr>
          <w:rFonts w:hint="eastAsia" w:ascii="仿宋_GB2312" w:hAnsi="仿宋_GB2312" w:eastAsia="仿宋_GB2312" w:cs="仿宋_GB2312"/>
          <w:sz w:val="32"/>
          <w:szCs w:val="32"/>
        </w:rPr>
        <w:t>深入开展群租房、网约房整治，强化协调联动、综合执法、群众参与，落实物业管理责任，严厉打击黑中介，为居民营造舒心安心不堵心的良好居住环境。</w:t>
      </w:r>
      <w:r>
        <w:rPr>
          <w:rFonts w:hint="eastAsia" w:ascii="楷体_GB2312" w:hAnsi="楷体_GB2312" w:eastAsia="楷体_GB2312" w:cs="楷体_GB2312"/>
          <w:sz w:val="32"/>
          <w:szCs w:val="32"/>
        </w:rPr>
        <w:t>（牵头领导：赵冬梅；牵头单位：区住房和城市建设局；责任单位:区公安分局、区消防救援大队、区城市管理局、各街道办事处）</w:t>
      </w:r>
    </w:p>
    <w:p>
      <w:pPr>
        <w:spacing w:line="560" w:lineRule="exact"/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狠抓生态环境综合治理。</w:t>
      </w:r>
      <w:r>
        <w:rPr>
          <w:rFonts w:hint="eastAsia" w:ascii="仿宋_GB2312" w:hAnsi="仿宋_GB2312" w:eastAsia="仿宋_GB2312" w:cs="仿宋_GB2312"/>
          <w:sz w:val="32"/>
          <w:szCs w:val="32"/>
        </w:rPr>
        <w:t>坚持把良好的生态环境作为最普惠的民生福祉，积极创建全国“两山”创新实践基地。</w:t>
      </w:r>
      <w:r>
        <w:rPr>
          <w:rFonts w:hint="eastAsia" w:ascii="楷体_GB2312" w:hAnsi="楷体_GB2312" w:eastAsia="楷体_GB2312" w:cs="楷体_GB2312"/>
          <w:sz w:val="32"/>
          <w:szCs w:val="32"/>
        </w:rPr>
        <w:t>（牵头领导：于杰；责任单位:区生态环境分局）</w:t>
      </w:r>
      <w:r>
        <w:rPr>
          <w:rFonts w:hint="eastAsia" w:ascii="仿宋_GB2312" w:hAnsi="仿宋_GB2312" w:eastAsia="仿宋_GB2312" w:cs="仿宋_GB2312"/>
          <w:sz w:val="32"/>
          <w:szCs w:val="32"/>
        </w:rPr>
        <w:t>守护好蓝天碧水和青山净土，强化大气污染综合治理，紧盯道路、工地、移动源等重点源头，实施大气细颗粒物和臭氧污染协同控制；</w:t>
      </w:r>
      <w:r>
        <w:rPr>
          <w:rFonts w:hint="eastAsia" w:ascii="楷体_GB2312" w:hAnsi="楷体_GB2312" w:eastAsia="楷体_GB2312" w:cs="楷体_GB2312"/>
          <w:sz w:val="32"/>
          <w:szCs w:val="32"/>
        </w:rPr>
        <w:t>（牵头领导：于杰；牵头单位：区生态环境分局；责任单位:区住房和城市建设局、区城市管理局、区交警大队、区市政工程服务中心）</w:t>
      </w:r>
      <w:r>
        <w:rPr>
          <w:rFonts w:hint="eastAsia" w:ascii="仿宋_GB2312" w:hAnsi="仿宋_GB2312" w:eastAsia="仿宋_GB2312" w:cs="仿宋_GB2312"/>
          <w:sz w:val="32"/>
          <w:szCs w:val="32"/>
        </w:rPr>
        <w:t>完成自备井封停任务，</w:t>
      </w:r>
      <w:r>
        <w:rPr>
          <w:rFonts w:hint="eastAsia" w:ascii="楷体_GB2312" w:hAnsi="楷体_GB2312" w:eastAsia="楷体_GB2312" w:cs="楷体_GB2312"/>
          <w:sz w:val="32"/>
          <w:szCs w:val="32"/>
        </w:rPr>
        <w:t>（牵头领导：于杰；责任单位:区水务局）</w:t>
      </w:r>
      <w:r>
        <w:rPr>
          <w:rFonts w:hint="eastAsia" w:ascii="仿宋_GB2312" w:hAnsi="仿宋_GB2312" w:eastAsia="仿宋_GB2312" w:cs="仿宋_GB2312"/>
          <w:sz w:val="32"/>
          <w:szCs w:val="32"/>
        </w:rPr>
        <w:t>加强流域水环境监测预警，严查违法排污行为，</w:t>
      </w:r>
      <w:r>
        <w:rPr>
          <w:rFonts w:hint="eastAsia" w:ascii="楷体_GB2312" w:hAnsi="楷体_GB2312" w:eastAsia="楷体_GB2312" w:cs="楷体_GB2312"/>
          <w:sz w:val="32"/>
          <w:szCs w:val="32"/>
        </w:rPr>
        <w:t>（牵头领导：于杰；责任单位:区生态环境分局）</w:t>
      </w:r>
      <w:r>
        <w:rPr>
          <w:rFonts w:hint="eastAsia" w:ascii="仿宋_GB2312" w:hAnsi="仿宋_GB2312" w:eastAsia="仿宋_GB2312" w:cs="仿宋_GB2312"/>
          <w:sz w:val="32"/>
          <w:szCs w:val="32"/>
        </w:rPr>
        <w:t>持续巩固黑臭水体治理成效；</w:t>
      </w:r>
      <w:r>
        <w:rPr>
          <w:rFonts w:hint="eastAsia" w:ascii="楷体_GB2312" w:hAnsi="楷体_GB2312" w:eastAsia="楷体_GB2312" w:cs="楷体_GB2312"/>
          <w:sz w:val="32"/>
          <w:szCs w:val="32"/>
        </w:rPr>
        <w:t>（牵头领导：于杰；责任单位：区水务局）</w:t>
      </w:r>
      <w:r>
        <w:rPr>
          <w:rFonts w:hint="eastAsia" w:ascii="仿宋_GB2312" w:hAnsi="仿宋_GB2312" w:eastAsia="仿宋_GB2312" w:cs="仿宋_GB2312"/>
          <w:sz w:val="32"/>
          <w:szCs w:val="32"/>
        </w:rPr>
        <w:t>对莲花山遗留废弃矿山、洪山西北侧边坡等地质灾害隐患及破损山体进行治理，</w:t>
      </w:r>
      <w:r>
        <w:rPr>
          <w:rFonts w:hint="eastAsia" w:ascii="楷体_GB2312" w:hAnsi="楷体_GB2312" w:eastAsia="楷体_GB2312" w:cs="楷体_GB2312"/>
          <w:sz w:val="32"/>
          <w:szCs w:val="32"/>
        </w:rPr>
        <w:t>（牵头领导：赵冬梅；责任单位:区自然资源局）</w:t>
      </w:r>
      <w:r>
        <w:rPr>
          <w:rFonts w:hint="eastAsia" w:ascii="仿宋_GB2312" w:hAnsi="仿宋_GB2312" w:eastAsia="仿宋_GB2312" w:cs="仿宋_GB2312"/>
          <w:sz w:val="32"/>
          <w:szCs w:val="32"/>
        </w:rPr>
        <w:t>定期开展土壤污染排查。</w:t>
      </w:r>
      <w:r>
        <w:rPr>
          <w:rFonts w:hint="eastAsia" w:ascii="楷体_GB2312" w:hAnsi="楷体_GB2312" w:eastAsia="楷体_GB2312" w:cs="楷体_GB2312"/>
          <w:sz w:val="32"/>
          <w:szCs w:val="32"/>
        </w:rPr>
        <w:t>（牵头领导：于杰；牵头单位：区生态环境分局；责任单位:区自然资源局）</w:t>
      </w:r>
      <w:r>
        <w:rPr>
          <w:rFonts w:hint="eastAsia" w:ascii="仿宋_GB2312" w:hAnsi="仿宋_GB2312" w:eastAsia="仿宋_GB2312" w:cs="仿宋_GB2312"/>
          <w:sz w:val="32"/>
          <w:szCs w:val="32"/>
        </w:rPr>
        <w:t>突出生态优先绿色低碳发展，加快</w:t>
      </w:r>
      <w:r>
        <w:rPr>
          <w:rFonts w:ascii="仿宋_GB2312" w:hAnsi="仿宋_GB2312" w:eastAsia="仿宋_GB2312" w:cs="仿宋_GB2312"/>
          <w:sz w:val="32"/>
          <w:szCs w:val="32"/>
        </w:rPr>
        <w:t>屋顶分布式光伏项目建设，</w:t>
      </w:r>
      <w:r>
        <w:rPr>
          <w:rFonts w:hint="eastAsia" w:ascii="楷体_GB2312" w:hAnsi="楷体_GB2312" w:eastAsia="楷体_GB2312" w:cs="楷体_GB2312"/>
          <w:sz w:val="32"/>
          <w:szCs w:val="32"/>
        </w:rPr>
        <w:t>（牵头领导：于杰；责任单位:区发展和改革局）</w:t>
      </w:r>
      <w:r>
        <w:rPr>
          <w:rFonts w:hint="eastAsia" w:ascii="仿宋_GB2312" w:eastAsia="仿宋_GB2312" w:cs="Times New Roman"/>
          <w:sz w:val="32"/>
          <w:szCs w:val="32"/>
        </w:rPr>
        <w:t>实施160万平方米既有建筑节能改造。</w:t>
      </w:r>
      <w:r>
        <w:rPr>
          <w:rFonts w:hint="eastAsia" w:ascii="楷体_GB2312" w:hAnsi="楷体_GB2312" w:eastAsia="楷体_GB2312" w:cs="楷体_GB2312"/>
          <w:sz w:val="32"/>
          <w:szCs w:val="32"/>
        </w:rPr>
        <w:t>（牵头领导：赵冬梅；责任单位:区住房和城市建设局）</w:t>
      </w:r>
      <w:r>
        <w:rPr>
          <w:rFonts w:hint="eastAsia" w:ascii="仿宋_GB2312" w:eastAsia="仿宋_GB2312" w:cs="Times New Roman"/>
          <w:sz w:val="32"/>
          <w:szCs w:val="32"/>
        </w:rPr>
        <w:t>大力推进绿化美化，新建历山东路游园、旅游路线性公园等6座城市公园，</w:t>
      </w:r>
      <w:r>
        <w:rPr>
          <w:rFonts w:hint="eastAsia" w:ascii="楷体_GB2312" w:hAnsi="楷体_GB2312" w:eastAsia="楷体_GB2312" w:cs="楷体_GB2312"/>
          <w:sz w:val="32"/>
          <w:szCs w:val="32"/>
        </w:rPr>
        <w:t>（牵头领导：于杰；责任单位:区园林绿化服务中心）</w:t>
      </w:r>
      <w:r>
        <w:rPr>
          <w:rFonts w:hint="eastAsia" w:ascii="仿宋_GB2312" w:eastAsia="仿宋_GB2312" w:cs="Times New Roman"/>
          <w:sz w:val="32"/>
          <w:szCs w:val="32"/>
        </w:rPr>
        <w:t>打造老君崖皂荚园等6处古树公园，</w:t>
      </w:r>
      <w:r>
        <w:rPr>
          <w:rFonts w:hint="eastAsia" w:ascii="楷体_GB2312" w:hAnsi="楷体_GB2312" w:eastAsia="楷体_GB2312" w:cs="楷体_GB2312"/>
          <w:sz w:val="32"/>
          <w:szCs w:val="32"/>
        </w:rPr>
        <w:t>（牵头领导：于杰；责任单位:区园林绿化服务中心）</w:t>
      </w:r>
      <w:r>
        <w:rPr>
          <w:rFonts w:hint="eastAsia" w:ascii="仿宋_GB2312" w:eastAsia="仿宋_GB2312" w:cs="Times New Roman"/>
          <w:sz w:val="32"/>
          <w:szCs w:val="32"/>
        </w:rPr>
        <w:t>围绕龙鼎滨水公园、中央绸带公园打造7公里彩色慢行绿道，</w:t>
      </w:r>
      <w:r>
        <w:rPr>
          <w:rFonts w:hint="eastAsia" w:ascii="楷体_GB2312" w:hAnsi="楷体_GB2312" w:eastAsia="楷体_GB2312" w:cs="楷体_GB2312"/>
          <w:sz w:val="32"/>
          <w:szCs w:val="32"/>
        </w:rPr>
        <w:t>（牵头领导：于杰；责任单位:区园林绿化服务中心）</w:t>
      </w:r>
      <w:r>
        <w:rPr>
          <w:rFonts w:hint="eastAsia" w:ascii="仿宋_GB2312" w:hAnsi="仿宋_GB2312" w:eastAsia="仿宋_GB2312" w:cs="仿宋_GB2312"/>
          <w:sz w:val="32"/>
          <w:szCs w:val="32"/>
        </w:rPr>
        <w:t>让更多群众切实感受到生态环境质量改善，推动绿水青山“生态颜值”和人民生活“幸福指数”同步提升。</w:t>
      </w:r>
    </w:p>
    <w:p>
      <w:pPr>
        <w:spacing w:line="560" w:lineRule="exact"/>
        <w:ind w:firstLine="640" w:firstLineChars="200"/>
        <w:rPr>
          <w:rFonts w:ascii="楷体_GB2312" w:hAnsi="楷体_GB2312" w:eastAsia="仿宋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（六）统筹民生保障和社会治理创新，打造共同富裕示范样板。</w:t>
      </w:r>
      <w:r>
        <w:rPr>
          <w:rFonts w:hint="eastAsia" w:ascii="仿宋_GB2312" w:eastAsia="仿宋_GB2312"/>
          <w:kern w:val="0"/>
          <w:sz w:val="32"/>
          <w:szCs w:val="32"/>
        </w:rPr>
        <w:t>全力推进普惠性、基础性、兜底性民生建设，不断提高基本公共服务水平和治理效能，努力构建文明善治的幸福历下。</w:t>
      </w:r>
    </w:p>
    <w:p>
      <w:pPr>
        <w:spacing w:line="560" w:lineRule="exact"/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织密扎牢民生保障网。</w:t>
      </w:r>
      <w:r>
        <w:rPr>
          <w:rFonts w:hint="eastAsia" w:ascii="仿宋_GB2312" w:eastAsia="仿宋_GB2312"/>
          <w:kern w:val="0"/>
          <w:sz w:val="32"/>
          <w:szCs w:val="32"/>
        </w:rPr>
        <w:t>抓好低保、大病等困难群体帮扶救助，</w:t>
      </w:r>
      <w:r>
        <w:rPr>
          <w:rFonts w:hint="eastAsia" w:ascii="楷体_GB2312" w:hAnsi="楷体_GB2312" w:eastAsia="楷体_GB2312" w:cs="楷体_GB2312"/>
          <w:sz w:val="32"/>
          <w:szCs w:val="32"/>
        </w:rPr>
        <w:t>（牵头领导：王若曦、李伟；责任单位:区医疗保障局、区民政局）</w:t>
      </w:r>
      <w:r>
        <w:rPr>
          <w:rFonts w:hint="eastAsia" w:ascii="仿宋_GB2312" w:eastAsia="仿宋_GB2312"/>
          <w:kern w:val="0"/>
          <w:sz w:val="32"/>
          <w:szCs w:val="32"/>
        </w:rPr>
        <w:t>关心关爱残疾人，积极</w:t>
      </w:r>
      <w:r>
        <w:rPr>
          <w:rFonts w:hint="eastAsia" w:ascii="仿宋_GB2312" w:hAnsi="仿宋_GB2312" w:eastAsia="仿宋_GB2312" w:cs="仿宋_GB2312"/>
          <w:sz w:val="32"/>
          <w:szCs w:val="32"/>
        </w:rPr>
        <w:t>创建全国残疾人服务工作示范区；</w:t>
      </w:r>
      <w:r>
        <w:rPr>
          <w:rFonts w:hint="eastAsia" w:ascii="楷体_GB2312" w:hAnsi="楷体_GB2312" w:eastAsia="楷体_GB2312" w:cs="楷体_GB2312"/>
          <w:sz w:val="32"/>
          <w:szCs w:val="32"/>
        </w:rPr>
        <w:t>（牵头领导：李伟；责任单位:区残联）</w:t>
      </w:r>
      <w:r>
        <w:rPr>
          <w:rFonts w:hint="eastAsia" w:ascii="仿宋_GB2312" w:eastAsia="仿宋_GB2312"/>
          <w:kern w:val="0"/>
          <w:sz w:val="32"/>
          <w:szCs w:val="32"/>
        </w:rPr>
        <w:t>认真落实退役军人优抚政策，助力济南</w:t>
      </w:r>
      <w:r>
        <w:rPr>
          <w:rFonts w:hint="eastAsia" w:ascii="仿宋_GB2312" w:hAnsi="仿宋_GB2312" w:eastAsia="仿宋_GB2312" w:cs="仿宋_GB2312"/>
          <w:sz w:val="32"/>
          <w:szCs w:val="32"/>
        </w:rPr>
        <w:t>争创全国双拥模范城。</w:t>
      </w:r>
      <w:r>
        <w:rPr>
          <w:rFonts w:hint="eastAsia" w:ascii="楷体_GB2312" w:hAnsi="楷体_GB2312" w:eastAsia="楷体_GB2312" w:cs="楷体_GB2312"/>
          <w:sz w:val="32"/>
          <w:szCs w:val="32"/>
        </w:rPr>
        <w:t>（牵头领导：李伟；责任单位:区退役军人事务局）</w:t>
      </w:r>
      <w:r>
        <w:rPr>
          <w:rFonts w:hint="eastAsia" w:ascii="仿宋_GB2312" w:eastAsia="仿宋_GB2312"/>
          <w:sz w:val="32"/>
          <w:szCs w:val="32"/>
        </w:rPr>
        <w:t>加快区级养老中心建成投用，为入住老人提供长期照护、康复促进等全周期服务；</w:t>
      </w:r>
      <w:r>
        <w:rPr>
          <w:rFonts w:hint="eastAsia" w:ascii="楷体_GB2312" w:hAnsi="楷体_GB2312" w:eastAsia="楷体_GB2312" w:cs="楷体_GB2312"/>
          <w:sz w:val="32"/>
          <w:szCs w:val="32"/>
        </w:rPr>
        <w:t>（牵头领导：李伟；责任单位:区民政局）</w:t>
      </w:r>
      <w:r>
        <w:rPr>
          <w:rFonts w:hint="eastAsia" w:ascii="仿宋_GB2312" w:eastAsia="仿宋_GB2312"/>
          <w:sz w:val="32"/>
          <w:szCs w:val="32"/>
        </w:rPr>
        <w:t>整合养老机构和社会化服务资源，打造“亲情E联”升级版。</w:t>
      </w:r>
      <w:r>
        <w:rPr>
          <w:rFonts w:hint="eastAsia" w:ascii="楷体_GB2312" w:hAnsi="楷体_GB2312" w:eastAsia="楷体_GB2312" w:cs="楷体_GB2312"/>
          <w:sz w:val="32"/>
          <w:szCs w:val="32"/>
        </w:rPr>
        <w:t>（牵头领导：李伟；责任单位:区民政局）</w:t>
      </w:r>
      <w:r>
        <w:rPr>
          <w:rFonts w:hint="eastAsia" w:ascii="仿宋_GB2312" w:eastAsia="仿宋_GB2312"/>
          <w:sz w:val="32"/>
          <w:szCs w:val="32"/>
        </w:rPr>
        <w:t>丰富医保电子凭证应用场景，方便群众就医用药。</w:t>
      </w:r>
      <w:r>
        <w:rPr>
          <w:rFonts w:hint="eastAsia" w:ascii="楷体_GB2312" w:hAnsi="楷体_GB2312" w:eastAsia="楷体_GB2312" w:cs="楷体_GB2312"/>
          <w:sz w:val="32"/>
          <w:szCs w:val="32"/>
        </w:rPr>
        <w:t>（牵头领导：王若曦；责任单位:区医疗保障局）</w:t>
      </w:r>
      <w:r>
        <w:rPr>
          <w:rFonts w:hint="eastAsia" w:ascii="仿宋_GB2312" w:eastAsia="仿宋_GB2312"/>
          <w:sz w:val="32"/>
          <w:szCs w:val="32"/>
        </w:rPr>
        <w:t>为中低收入困难家庭、新就业职工等群体发放住房补贴，新增保障性租赁住房4100套，让更多群众圆安居梦。</w:t>
      </w:r>
      <w:r>
        <w:rPr>
          <w:rFonts w:hint="eastAsia" w:ascii="楷体_GB2312" w:hAnsi="楷体_GB2312" w:eastAsia="楷体_GB2312" w:cs="楷体_GB2312"/>
          <w:sz w:val="32"/>
          <w:szCs w:val="32"/>
        </w:rPr>
        <w:t>（牵头领导：赵冬梅；责任单位:区住房和城市建设局）</w:t>
      </w:r>
    </w:p>
    <w:p>
      <w:pPr>
        <w:spacing w:line="560" w:lineRule="exact"/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推动教育事业不断进步。</w:t>
      </w:r>
      <w:r>
        <w:rPr>
          <w:rFonts w:hint="eastAsia" w:ascii="仿宋_GB2312" w:hAnsi="仿宋_GB2312" w:eastAsia="仿宋_GB2312" w:cs="仿宋_GB2312"/>
          <w:sz w:val="32"/>
          <w:szCs w:val="32"/>
        </w:rPr>
        <w:t>大力促进优质教育资源普惠均衡，新建、改扩建中小学幼儿园10处，增加学位6630个；</w:t>
      </w:r>
      <w:r>
        <w:rPr>
          <w:rFonts w:hint="eastAsia" w:ascii="楷体_GB2312" w:hAnsi="楷体_GB2312" w:eastAsia="楷体_GB2312" w:cs="楷体_GB2312"/>
          <w:sz w:val="32"/>
          <w:szCs w:val="32"/>
        </w:rPr>
        <w:t>（牵头领导：王若曦；责任单位:区教育和体育局）</w:t>
      </w:r>
      <w:r>
        <w:rPr>
          <w:rFonts w:hint="eastAsia" w:ascii="仿宋_GB2312" w:hAnsi="仿宋_GB2312" w:eastAsia="仿宋_GB2312" w:cs="仿宋_GB2312"/>
          <w:sz w:val="32"/>
          <w:szCs w:val="32"/>
        </w:rPr>
        <w:t>新成立6个名校长工作室，评选百名优秀班主任、教学能手和优秀教师，着力提升教育教学水平；</w:t>
      </w:r>
      <w:r>
        <w:rPr>
          <w:rFonts w:hint="eastAsia" w:ascii="楷体_GB2312" w:hAnsi="楷体_GB2312" w:eastAsia="楷体_GB2312" w:cs="楷体_GB2312"/>
          <w:sz w:val="32"/>
          <w:szCs w:val="32"/>
        </w:rPr>
        <w:t>（牵头领导：王若曦；责任单位:区教育和体育局）</w:t>
      </w:r>
      <w:r>
        <w:rPr>
          <w:rFonts w:hint="eastAsia" w:ascii="仿宋_GB2312" w:hAnsi="仿宋_GB2312" w:eastAsia="仿宋_GB2312" w:cs="仿宋_GB2312"/>
          <w:sz w:val="32"/>
          <w:szCs w:val="32"/>
        </w:rPr>
        <w:t>坚持立德树人根本任务，深化新时代学校思政课改革创新，广泛开展公益讲座和课后延时服务，不断提高学生的综合素养、人文底蕴和历史自信，把教育办成老百姓想要的样子。</w:t>
      </w:r>
      <w:r>
        <w:rPr>
          <w:rFonts w:hint="eastAsia" w:ascii="楷体_GB2312" w:hAnsi="楷体_GB2312" w:eastAsia="楷体_GB2312" w:cs="楷体_GB2312"/>
          <w:sz w:val="32"/>
          <w:szCs w:val="32"/>
        </w:rPr>
        <w:t>（牵头领导：王若曦；责任单位:区教育和体育局）</w:t>
      </w:r>
    </w:p>
    <w:p>
      <w:pPr>
        <w:spacing w:line="560" w:lineRule="exact"/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持续加快文化繁荣发展。</w:t>
      </w:r>
      <w:r>
        <w:rPr>
          <w:rFonts w:hint="eastAsia" w:ascii="仿宋_GB2312" w:hAnsi="仿宋_GB2312" w:eastAsia="仿宋_GB2312" w:cs="仿宋_GB2312"/>
          <w:sz w:val="32"/>
          <w:szCs w:val="32"/>
        </w:rPr>
        <w:t>实施文化立区战略，大力发展文化事业，推进区文化馆、图书馆智慧化提升，打造“可听、可看、可读、可体验”的文化会客厅，做好《历下通览》编纂工作，办好各类文化惠民和精品民俗节庆活动，丰富群众文化生活。</w:t>
      </w:r>
      <w:r>
        <w:rPr>
          <w:rFonts w:hint="eastAsia" w:ascii="楷体_GB2312" w:hAnsi="楷体_GB2312" w:eastAsia="楷体_GB2312" w:cs="楷体_GB2312"/>
          <w:sz w:val="32"/>
          <w:szCs w:val="32"/>
        </w:rPr>
        <w:t>（牵头领导：李伟；责任单位:区文化和旅游局、区委党史研究中心）</w:t>
      </w:r>
      <w:r>
        <w:rPr>
          <w:rFonts w:hint="eastAsia" w:ascii="仿宋_GB2312" w:hAnsi="仿宋_GB2312" w:eastAsia="仿宋_GB2312" w:cs="仿宋_GB2312"/>
          <w:sz w:val="32"/>
          <w:szCs w:val="32"/>
        </w:rPr>
        <w:t>大力推进文旅融合发展，发挥“山东手造”（济南）展示体验中心带动作用，下大力气开发古城、泉水、非遗等主题体验产品，借助文博会、非遗博览会等平台，用活用好新媒体，多维度构建历下品牌传播矩阵，提升城区影响力和知名度。</w:t>
      </w:r>
      <w:r>
        <w:rPr>
          <w:rFonts w:hint="eastAsia" w:ascii="楷体_GB2312" w:hAnsi="楷体_GB2312" w:eastAsia="楷体_GB2312" w:cs="楷体_GB2312"/>
          <w:sz w:val="32"/>
          <w:szCs w:val="32"/>
        </w:rPr>
        <w:t>（牵头领导：李伟；牵头单位：区文化和旅游局；责任单位:济南古城保护和发展中心、历下控股集团）</w:t>
      </w:r>
      <w:r>
        <w:rPr>
          <w:rFonts w:hint="eastAsia" w:ascii="仿宋_GB2312" w:hAnsi="仿宋_GB2312" w:eastAsia="仿宋_GB2312" w:cs="仿宋_GB2312"/>
          <w:sz w:val="32"/>
          <w:szCs w:val="32"/>
        </w:rPr>
        <w:t>做优文化广告创意产业园，</w:t>
      </w:r>
      <w:r>
        <w:rPr>
          <w:rFonts w:hint="eastAsia" w:ascii="楷体_GB2312" w:hAnsi="楷体_GB2312" w:eastAsia="楷体_GB2312" w:cs="楷体_GB2312"/>
          <w:sz w:val="32"/>
          <w:szCs w:val="32"/>
        </w:rPr>
        <w:t>（牵头领导：武毅；责任单位：区市场监督管理局）</w:t>
      </w:r>
      <w:r>
        <w:rPr>
          <w:rFonts w:hint="eastAsia" w:ascii="仿宋_GB2312" w:hAnsi="仿宋_GB2312" w:eastAsia="仿宋_GB2312" w:cs="仿宋_GB2312"/>
          <w:sz w:val="32"/>
          <w:szCs w:val="32"/>
        </w:rPr>
        <w:t>加快“丽山系”园区品牌塑造，</w:t>
      </w:r>
      <w:r>
        <w:rPr>
          <w:rFonts w:hint="eastAsia" w:ascii="楷体_GB2312" w:hAnsi="楷体_GB2312" w:eastAsia="楷体_GB2312" w:cs="楷体_GB2312"/>
          <w:sz w:val="32"/>
          <w:szCs w:val="32"/>
        </w:rPr>
        <w:t>（牵头领导：赵冬梅；责任单位:历下控股集团）</w:t>
      </w:r>
      <w:r>
        <w:rPr>
          <w:rFonts w:hint="eastAsia" w:ascii="仿宋_GB2312" w:hAnsi="仿宋_GB2312" w:eastAsia="仿宋_GB2312" w:cs="仿宋_GB2312"/>
          <w:sz w:val="32"/>
          <w:szCs w:val="32"/>
        </w:rPr>
        <w:t>大力发展艺术品交易展览、文创产品、电竞动漫、创意设计等相关产业，加快打造更具影响力、吸引力的文化产业集聚发展新高地。</w:t>
      </w:r>
      <w:r>
        <w:rPr>
          <w:rFonts w:hint="eastAsia" w:ascii="楷体_GB2312" w:hAnsi="楷体_GB2312" w:eastAsia="楷体_GB2312" w:cs="楷体_GB2312"/>
          <w:sz w:val="32"/>
          <w:szCs w:val="32"/>
        </w:rPr>
        <w:t>（牵头领导：李伟；责任单位：区文化和旅游局）</w:t>
      </w:r>
      <w:r>
        <w:rPr>
          <w:rFonts w:hint="eastAsia" w:ascii="仿宋_GB2312" w:hAnsi="仿宋_GB2312" w:eastAsia="仿宋_GB2312" w:cs="仿宋_GB2312"/>
          <w:sz w:val="32"/>
          <w:szCs w:val="32"/>
        </w:rPr>
        <w:t>深入推进文明典范城市创建，开展“学先进树典型促发展”主题活动，弘扬文明风尚，凝聚奋进力量。</w:t>
      </w:r>
      <w:r>
        <w:rPr>
          <w:rFonts w:hint="eastAsia" w:ascii="楷体_GB2312" w:hAnsi="楷体_GB2312" w:eastAsia="楷体_GB2312" w:cs="楷体_GB2312"/>
          <w:sz w:val="32"/>
          <w:szCs w:val="32"/>
        </w:rPr>
        <w:t>（牵头领导：区有关领导；责任单位：区委宣传部）</w:t>
      </w:r>
    </w:p>
    <w:p>
      <w:pPr>
        <w:spacing w:line="560" w:lineRule="exact"/>
        <w:ind w:firstLine="643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提升基层社会治理效能。</w:t>
      </w:r>
      <w:r>
        <w:rPr>
          <w:rFonts w:hint="eastAsia" w:ascii="仿宋_GB2312" w:eastAsia="仿宋_GB2312"/>
          <w:sz w:val="32"/>
          <w:szCs w:val="32"/>
        </w:rPr>
        <w:t>建设社区治理学院，打造“红心领航”社会组织党建品牌，推动社区基金街道层面全覆盖，实现社区治理服务升级。</w:t>
      </w:r>
      <w:r>
        <w:rPr>
          <w:rFonts w:hint="eastAsia" w:ascii="楷体_GB2312" w:hAnsi="楷体_GB2312" w:eastAsia="楷体_GB2312" w:cs="楷体_GB2312"/>
          <w:kern w:val="0"/>
          <w:sz w:val="32"/>
          <w:szCs w:val="32"/>
          <w:lang w:bidi="ar"/>
        </w:rPr>
        <w:t>（牵头领导：李伟；责任单位：区民政局）</w:t>
      </w:r>
      <w:r>
        <w:rPr>
          <w:rFonts w:hint="eastAsia" w:ascii="仿宋_GB2312" w:eastAsia="仿宋_GB2312"/>
          <w:sz w:val="32"/>
          <w:szCs w:val="32"/>
        </w:rPr>
        <w:t>建立健全网格事项准入机制，强化社区网格员培训管理，打造一支平时能服务、战时能攻坚的网格员队伍。</w:t>
      </w:r>
      <w:r>
        <w:rPr>
          <w:rFonts w:hint="eastAsia" w:ascii="楷体_GB2312" w:hAnsi="楷体_GB2312" w:eastAsia="楷体_GB2312" w:cs="楷体_GB2312"/>
          <w:sz w:val="32"/>
          <w:szCs w:val="32"/>
        </w:rPr>
        <w:t>（牵头领导：毕经海；牵头单位：区委政法委；责任单位：区民政局）</w:t>
      </w:r>
      <w:r>
        <w:rPr>
          <w:rFonts w:hint="eastAsia" w:ascii="仿宋_GB2312" w:eastAsia="仿宋_GB2312"/>
          <w:sz w:val="32"/>
          <w:szCs w:val="32"/>
        </w:rPr>
        <w:t>探索将法律服务力量融入社区网格，为网格员配上“法律顾问”，建立法治赋能服务事项清单。</w:t>
      </w:r>
      <w:r>
        <w:rPr>
          <w:rFonts w:hint="eastAsia" w:ascii="楷体_GB2312" w:hAnsi="楷体_GB2312" w:eastAsia="楷体_GB2312" w:cs="楷体_GB2312"/>
          <w:sz w:val="32"/>
          <w:szCs w:val="32"/>
        </w:rPr>
        <w:t>（牵头领导：李伟；牵头单位：区司法局；责任单位：区委政法委）</w:t>
      </w:r>
      <w:r>
        <w:rPr>
          <w:rFonts w:hint="eastAsia" w:ascii="仿宋_GB2312" w:eastAsia="仿宋_GB2312"/>
          <w:sz w:val="32"/>
          <w:szCs w:val="32"/>
        </w:rPr>
        <w:t>用好自媒体、新媒体平台，开展精准普法宣传，着力提高居民群众法治素养。</w:t>
      </w:r>
      <w:r>
        <w:rPr>
          <w:rFonts w:hint="eastAsia" w:ascii="楷体_GB2312" w:hAnsi="楷体_GB2312" w:eastAsia="楷体_GB2312" w:cs="楷体_GB2312"/>
          <w:sz w:val="32"/>
          <w:szCs w:val="32"/>
        </w:rPr>
        <w:t>（牵头领导：李伟；责任单位：区司法局）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扎实做好第五次全国经济普查，</w:t>
      </w:r>
      <w:r>
        <w:rPr>
          <w:rFonts w:hint="eastAsia" w:ascii="楷体_GB2312" w:hAnsi="楷体_GB2312" w:eastAsia="楷体_GB2312" w:cs="楷体_GB2312"/>
          <w:sz w:val="32"/>
          <w:szCs w:val="32"/>
        </w:rPr>
        <w:t>（牵头领导：武毅；责任单位：区统计局）</w:t>
      </w:r>
      <w:r>
        <w:rPr>
          <w:rFonts w:hint="eastAsia" w:ascii="仿宋_GB2312" w:eastAsia="仿宋_GB2312"/>
          <w:sz w:val="32"/>
          <w:szCs w:val="32"/>
        </w:rPr>
        <w:t>支持工会、共青团、妇联、红十字会等人民团体广泛参与社会治理和公共服务，认真做好民族宗教、人民防空、档案保密、外事侨务等工作。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新征程是充满光荣和梦想的远征。在前进的道路上，我们将紧扣新时代党的建设总要求，大力弘扬伟大建党精神，持续加强政府自身建设，切实提升政府效能。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以政治建设引领前进航向。</w:t>
      </w:r>
      <w:r>
        <w:rPr>
          <w:rFonts w:hint="eastAsia" w:ascii="仿宋_GB2312" w:eastAsia="仿宋_GB2312"/>
          <w:sz w:val="32"/>
          <w:szCs w:val="32"/>
        </w:rPr>
        <w:t>始终坚持以习近平新时代中国特色社会主义思想为指导，把学习贯彻党的二十大精神作为最重要的政治任务，深刻领悟“两个确立”的决定性意义，牢记“国之大者”，增强“四个意识”、坚定“四个自信”、做到“两个维护”，切实提高政治判断力、政治领悟力、政治执行力，</w:t>
      </w:r>
      <w:r>
        <w:rPr>
          <w:rFonts w:hint="eastAsia" w:ascii="仿宋_GB2312" w:hAnsi="Times New Roman" w:eastAsia="仿宋_GB2312" w:cs="Times New Roman"/>
          <w:sz w:val="32"/>
          <w:szCs w:val="32"/>
        </w:rPr>
        <w:t>以实际行动推动党的二十大精神在历下落地落实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以敬畏之心树牢法治信仰。</w:t>
      </w:r>
      <w:r>
        <w:rPr>
          <w:rFonts w:hint="eastAsia" w:ascii="仿宋_GB2312" w:eastAsia="仿宋_GB2312"/>
          <w:sz w:val="32"/>
          <w:szCs w:val="32"/>
        </w:rPr>
        <w:t>坚决贯彻习近平法治思想，坚持政府规章制定有准度、权力运行有法度、严格执法有力度，全力创建全国法治政府建设示范区。</w:t>
      </w:r>
      <w:r>
        <w:rPr>
          <w:rFonts w:hint="eastAsia" w:ascii="楷体_GB2312" w:hAnsi="楷体_GB2312" w:eastAsia="楷体_GB2312" w:cs="楷体_GB2312"/>
          <w:sz w:val="32"/>
          <w:szCs w:val="32"/>
        </w:rPr>
        <w:t>（牵头领导：李伟；责任单位：区司法局）</w:t>
      </w:r>
      <w:r>
        <w:rPr>
          <w:rFonts w:hint="eastAsia" w:ascii="仿宋_GB2312" w:eastAsia="仿宋_GB2312"/>
          <w:sz w:val="32"/>
          <w:szCs w:val="32"/>
        </w:rPr>
        <w:t>认真落实重大行政决策程序规定，自觉接受人大法律监督、政协民主监督，主动接受司法监督、群众监督、舆论监督。加强政府信息公开，全面提升政务公开质量时效，不断提高政府公信力。</w:t>
      </w:r>
      <w:r>
        <w:rPr>
          <w:rFonts w:hint="eastAsia" w:ascii="楷体_GB2312" w:hAnsi="楷体_GB2312" w:eastAsia="楷体_GB2312" w:cs="楷体_GB2312"/>
          <w:sz w:val="32"/>
          <w:szCs w:val="32"/>
        </w:rPr>
        <w:t>（牵头领导：武毅；责任单位：区政府办公室）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以过硬作风建设廉洁政府。</w:t>
      </w:r>
      <w:r>
        <w:rPr>
          <w:rFonts w:hint="eastAsia" w:ascii="仿宋_GB2312" w:eastAsia="仿宋_GB2312"/>
          <w:sz w:val="32"/>
          <w:szCs w:val="32"/>
        </w:rPr>
        <w:t>进一步增强坚定不移全面从严治党的政治定力，推动政府系统党风廉政建设持续走深走实，深入贯彻中央八项规定及其实施细则精神，重点纠治形式主义、官僚主义顽疾，始终保持清正廉洁的政府形象。持续推进审计监督全覆盖，</w:t>
      </w:r>
      <w:r>
        <w:rPr>
          <w:rFonts w:hint="eastAsia" w:ascii="楷体_GB2312" w:hAnsi="楷体_GB2312" w:eastAsia="楷体_GB2312" w:cs="楷体_GB2312"/>
          <w:sz w:val="32"/>
          <w:szCs w:val="32"/>
        </w:rPr>
        <w:t>（牵头领导：王若曦；责任单位：区审计局）</w:t>
      </w:r>
      <w:r>
        <w:rPr>
          <w:rFonts w:hint="eastAsia" w:ascii="仿宋_GB2312" w:eastAsia="仿宋_GB2312"/>
          <w:sz w:val="32"/>
          <w:szCs w:val="32"/>
        </w:rPr>
        <w:t>大力压缩一般性支出，从严从紧抓好预算执行，扎紧政府花钱的口子，放宽助企惠民的路子。</w:t>
      </w:r>
      <w:r>
        <w:rPr>
          <w:rFonts w:hint="eastAsia" w:ascii="楷体_GB2312" w:hAnsi="楷体_GB2312" w:eastAsia="楷体_GB2312" w:cs="楷体_GB2312"/>
          <w:sz w:val="32"/>
          <w:szCs w:val="32"/>
        </w:rPr>
        <w:t>（牵头领导：武毅；责任单位：区财政局）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以人民情怀扛起使命担当。</w:t>
      </w:r>
      <w:r>
        <w:rPr>
          <w:rFonts w:hint="eastAsia" w:ascii="仿宋_GB2312" w:hAnsi="Times New Roman" w:eastAsia="仿宋_GB2312" w:cs="Times New Roman"/>
          <w:sz w:val="32"/>
          <w:szCs w:val="32"/>
        </w:rPr>
        <w:t>始终把人民放在心中最高位置，恪守人民情怀，“</w:t>
      </w:r>
      <w:r>
        <w:rPr>
          <w:rFonts w:ascii="仿宋_GB2312" w:hAnsi="Times New Roman" w:eastAsia="仿宋_GB2312" w:cs="Times New Roman"/>
          <w:sz w:val="32"/>
          <w:szCs w:val="32"/>
        </w:rPr>
        <w:t>做事</w:t>
      </w:r>
      <w:r>
        <w:rPr>
          <w:rFonts w:hint="eastAsia" w:ascii="仿宋_GB2312" w:hAnsi="Times New Roman" w:eastAsia="仿宋_GB2312" w:cs="Times New Roman"/>
          <w:sz w:val="32"/>
          <w:szCs w:val="32"/>
        </w:rPr>
        <w:t>”不“作秀”，“造福”不“造势”，重“里子”不重“面子”。</w:t>
      </w:r>
      <w:r>
        <w:rPr>
          <w:rFonts w:hint="eastAsia" w:ascii="仿宋_GB2312" w:eastAsia="仿宋_GB2312" w:cs="Times New Roman"/>
          <w:sz w:val="32"/>
          <w:szCs w:val="32"/>
        </w:rPr>
        <w:t>努力</w:t>
      </w:r>
      <w:r>
        <w:rPr>
          <w:rFonts w:hint="eastAsia" w:ascii="仿宋_GB2312" w:hAnsi="Times New Roman" w:eastAsia="仿宋_GB2312" w:cs="Times New Roman"/>
          <w:sz w:val="32"/>
          <w:szCs w:val="32"/>
        </w:rPr>
        <w:t>解决好群众急难愁盼问题，把依靠人民、造福人民、植根人民化为切实行动</w:t>
      </w:r>
      <w:r>
        <w:rPr>
          <w:rFonts w:ascii="仿宋_GB2312" w:hAnsi="Times New Roman" w:eastAsia="仿宋_GB2312" w:cs="Times New Roman"/>
          <w:sz w:val="32"/>
          <w:szCs w:val="32"/>
        </w:rPr>
        <w:t>，保</w:t>
      </w:r>
      <w:r>
        <w:rPr>
          <w:rFonts w:hint="eastAsia" w:ascii="仿宋_GB2312" w:hAnsi="Times New Roman" w:eastAsia="仿宋_GB2312" w:cs="Times New Roman"/>
          <w:sz w:val="32"/>
          <w:szCs w:val="32"/>
        </w:rPr>
        <w:t>持“一刻也不能停，一步也不能</w:t>
      </w:r>
      <w:r>
        <w:rPr>
          <w:rFonts w:hint="eastAsia" w:ascii="仿宋_GB2312" w:eastAsia="仿宋_GB2312" w:cs="Times New Roman"/>
          <w:sz w:val="32"/>
          <w:szCs w:val="32"/>
        </w:rPr>
        <w:t>慢</w:t>
      </w:r>
      <w:r>
        <w:rPr>
          <w:rFonts w:hint="eastAsia" w:ascii="仿宋_GB2312" w:hAnsi="Times New Roman" w:eastAsia="仿宋_GB2312" w:cs="Times New Roman"/>
          <w:sz w:val="32"/>
          <w:szCs w:val="32"/>
        </w:rPr>
        <w:t>，一天也误不起”</w:t>
      </w:r>
      <w:r>
        <w:rPr>
          <w:rFonts w:ascii="仿宋_GB2312" w:hAnsi="Times New Roman" w:eastAsia="仿宋_GB2312" w:cs="Times New Roman"/>
          <w:sz w:val="32"/>
          <w:szCs w:val="32"/>
        </w:rPr>
        <w:t>的责任感紧迫感</w:t>
      </w:r>
      <w:r>
        <w:rPr>
          <w:rFonts w:hint="eastAsia" w:ascii="仿宋_GB2312" w:hAnsi="Times New Roman" w:eastAsia="仿宋_GB2312" w:cs="Times New Roman"/>
          <w:sz w:val="32"/>
          <w:szCs w:val="32"/>
        </w:rPr>
        <w:t>，以咬定青山不放松的执着奋力完成任务目标，让国际化一流中心城区建设成果更多更公平惠及全体人民。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pStyle w:val="12"/>
        <w:shd w:val="clear" w:color="auto" w:fill="FFFFFF"/>
        <w:adjustRightInd w:val="0"/>
        <w:snapToGrid w:val="0"/>
        <w:spacing w:before="0" w:beforeAutospacing="0" w:after="0" w:afterAutospacing="0" w:line="560" w:lineRule="exact"/>
        <w:ind w:firstLine="640" w:firstLineChars="200"/>
        <w:jc w:val="both"/>
        <w:rPr>
          <w:rFonts w:ascii="仿宋_GB2312" w:hAnsi="仿宋" w:eastAsia="仿宋_GB2312"/>
          <w:sz w:val="32"/>
          <w:szCs w:val="32"/>
        </w:rPr>
      </w:pPr>
    </w:p>
    <w:p>
      <w:pPr>
        <w:spacing w:line="48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48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48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48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48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48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48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48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480" w:lineRule="exact"/>
        <w:ind w:firstLine="640" w:firstLineChars="200"/>
        <w:rPr>
          <w:rFonts w:ascii="仿宋_GB2312" w:eastAsia="仿宋_GB2312"/>
          <w:sz w:val="32"/>
          <w:szCs w:val="32"/>
        </w:rPr>
        <w:sectPr>
          <w:footerReference r:id="rId3" w:type="default"/>
          <w:footerReference r:id="rId4" w:type="even"/>
          <w:pgSz w:w="11906" w:h="16838"/>
          <w:pgMar w:top="2098" w:right="1588" w:bottom="2098" w:left="1588" w:header="851" w:footer="1644" w:gutter="0"/>
          <w:pgNumType w:fmt="numberInDash"/>
          <w:cols w:space="425" w:num="1"/>
          <w:docGrid w:type="lines" w:linePitch="312" w:charSpace="0"/>
        </w:sectPr>
      </w:pPr>
    </w:p>
    <w:p>
      <w:pPr>
        <w:spacing w:line="480" w:lineRule="exact"/>
        <w:ind w:firstLine="420" w:firstLineChars="200"/>
      </w:pPr>
    </w:p>
    <w:sectPr>
      <w:footerReference r:id="rId5" w:type="even"/>
      <w:pgSz w:w="11906" w:h="16838"/>
      <w:pgMar w:top="2098" w:right="1588" w:bottom="2098" w:left="1588" w:header="851" w:footer="1644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&lt;p&gt;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604727862"/>
      <w:docPartObj>
        <w:docPartGallery w:val="AutoText"/>
      </w:docPartObj>
    </w:sdtPr>
    <w:sdtEndPr>
      <w:rPr>
        <w:rFonts w:asciiTheme="minorEastAsia" w:hAnsiTheme="minorEastAsia"/>
        <w:sz w:val="28"/>
        <w:szCs w:val="28"/>
      </w:rPr>
    </w:sdtEndPr>
    <w:sdtContent>
      <w:p>
        <w:pPr>
          <w:pStyle w:val="8"/>
          <w:ind w:right="180"/>
          <w:jc w:val="right"/>
          <w:rPr>
            <w:rFonts w:asciiTheme="minorEastAsia" w:hAnsiTheme="minorEastAsia"/>
            <w:sz w:val="28"/>
            <w:szCs w:val="28"/>
          </w:rPr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sz w:val="28"/>
            <w:szCs w:val="28"/>
          </w:rPr>
          <w:t xml:space="preserve"> 1 -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921051159"/>
      <w:docPartObj>
        <w:docPartGallery w:val="AutoText"/>
      </w:docPartObj>
    </w:sdtPr>
    <w:sdtEndPr>
      <w:rPr>
        <w:rFonts w:asciiTheme="majorEastAsia" w:hAnsiTheme="majorEastAsia" w:eastAsiaTheme="majorEastAsia"/>
        <w:sz w:val="28"/>
        <w:szCs w:val="28"/>
      </w:rPr>
    </w:sdtEndPr>
    <w:sdtContent>
      <w:p>
        <w:pPr>
          <w:pStyle w:val="8"/>
          <w:ind w:firstLine="180" w:firstLineChars="100"/>
          <w:rPr>
            <w:rFonts w:asciiTheme="majorEastAsia" w:hAnsiTheme="majorEastAsia" w:eastAsiaTheme="majorEastAsia"/>
            <w:sz w:val="28"/>
            <w:szCs w:val="28"/>
          </w:rPr>
        </w:pPr>
        <w:r>
          <w:rPr>
            <w:rFonts w:asciiTheme="majorEastAsia" w:hAnsiTheme="majorEastAsia" w:eastAsiaTheme="majorEastAsia"/>
            <w:sz w:val="28"/>
            <w:szCs w:val="28"/>
          </w:rPr>
          <w:fldChar w:fldCharType="begin"/>
        </w:r>
        <w:r>
          <w:rPr>
            <w:rFonts w:asciiTheme="majorEastAsia" w:hAnsiTheme="majorEastAsia" w:eastAsiaTheme="majorEastAsia"/>
            <w:sz w:val="28"/>
            <w:szCs w:val="28"/>
          </w:rPr>
          <w:instrText xml:space="preserve">PAGE   \* MERGEFORMAT</w:instrTex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separate"/>
        </w:r>
        <w:r>
          <w:rPr>
            <w:rFonts w:asciiTheme="majorEastAsia" w:hAnsiTheme="majorEastAsia" w:eastAsiaTheme="majorEastAsia"/>
            <w:sz w:val="28"/>
            <w:szCs w:val="28"/>
            <w:lang w:val="zh-CN"/>
          </w:rPr>
          <w:t>-</w:t>
        </w:r>
        <w:r>
          <w:rPr>
            <w:rFonts w:asciiTheme="majorEastAsia" w:hAnsiTheme="majorEastAsia" w:eastAsiaTheme="majorEastAsia"/>
            <w:sz w:val="28"/>
            <w:szCs w:val="28"/>
          </w:rPr>
          <w:t xml:space="preserve"> 24 -</w: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280" w:firstLineChars="100"/>
      <w:rPr>
        <w:rFonts w:asciiTheme="majorEastAsia" w:hAnsiTheme="majorEastAsia" w:eastAsiaTheme="majorEastAsia"/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evenAndOddHeaders w:val="1"/>
  <w:drawingGridHorizontalSpacing w:val="112"/>
  <w:drawingGridVerticalSpacing w:val="26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5E6"/>
    <w:rsid w:val="000179EC"/>
    <w:rsid w:val="00020D3A"/>
    <w:rsid w:val="0004478D"/>
    <w:rsid w:val="00044CF1"/>
    <w:rsid w:val="000503AD"/>
    <w:rsid w:val="000504A5"/>
    <w:rsid w:val="0005053A"/>
    <w:rsid w:val="00050EDB"/>
    <w:rsid w:val="00051B32"/>
    <w:rsid w:val="0005253D"/>
    <w:rsid w:val="00054C02"/>
    <w:rsid w:val="0005564E"/>
    <w:rsid w:val="00060D08"/>
    <w:rsid w:val="00063505"/>
    <w:rsid w:val="00065DEF"/>
    <w:rsid w:val="00066EF1"/>
    <w:rsid w:val="00077C78"/>
    <w:rsid w:val="000821EC"/>
    <w:rsid w:val="000833B8"/>
    <w:rsid w:val="000919A8"/>
    <w:rsid w:val="00097376"/>
    <w:rsid w:val="000A2781"/>
    <w:rsid w:val="000A388C"/>
    <w:rsid w:val="000B2301"/>
    <w:rsid w:val="000B2B99"/>
    <w:rsid w:val="000B37E2"/>
    <w:rsid w:val="000B54AF"/>
    <w:rsid w:val="000C7F7E"/>
    <w:rsid w:val="000D1E6C"/>
    <w:rsid w:val="000D3EE2"/>
    <w:rsid w:val="000E5FC7"/>
    <w:rsid w:val="000F31B0"/>
    <w:rsid w:val="00101E1F"/>
    <w:rsid w:val="00102D7E"/>
    <w:rsid w:val="001048A4"/>
    <w:rsid w:val="001133F6"/>
    <w:rsid w:val="001137DC"/>
    <w:rsid w:val="00114918"/>
    <w:rsid w:val="00116F82"/>
    <w:rsid w:val="001176E4"/>
    <w:rsid w:val="00120F34"/>
    <w:rsid w:val="001266A2"/>
    <w:rsid w:val="0013217D"/>
    <w:rsid w:val="00133244"/>
    <w:rsid w:val="00135EEA"/>
    <w:rsid w:val="00136A15"/>
    <w:rsid w:val="00140207"/>
    <w:rsid w:val="001404D1"/>
    <w:rsid w:val="0014248C"/>
    <w:rsid w:val="00142E11"/>
    <w:rsid w:val="00145483"/>
    <w:rsid w:val="001476F9"/>
    <w:rsid w:val="00150BA9"/>
    <w:rsid w:val="001600C6"/>
    <w:rsid w:val="0016589D"/>
    <w:rsid w:val="0016649A"/>
    <w:rsid w:val="00175A1A"/>
    <w:rsid w:val="00190855"/>
    <w:rsid w:val="00194045"/>
    <w:rsid w:val="001944E4"/>
    <w:rsid w:val="00197A7B"/>
    <w:rsid w:val="00197CE0"/>
    <w:rsid w:val="001A0F8F"/>
    <w:rsid w:val="001A2B0A"/>
    <w:rsid w:val="001A5227"/>
    <w:rsid w:val="001A6AEA"/>
    <w:rsid w:val="001B1551"/>
    <w:rsid w:val="001B6361"/>
    <w:rsid w:val="001B7185"/>
    <w:rsid w:val="001C0D6F"/>
    <w:rsid w:val="001C286F"/>
    <w:rsid w:val="001D2EEE"/>
    <w:rsid w:val="001D4721"/>
    <w:rsid w:val="001D6A68"/>
    <w:rsid w:val="001F5809"/>
    <w:rsid w:val="00203F2F"/>
    <w:rsid w:val="00204569"/>
    <w:rsid w:val="0020497F"/>
    <w:rsid w:val="00204F2D"/>
    <w:rsid w:val="00207916"/>
    <w:rsid w:val="00220198"/>
    <w:rsid w:val="00221739"/>
    <w:rsid w:val="00232109"/>
    <w:rsid w:val="00232BDE"/>
    <w:rsid w:val="00240595"/>
    <w:rsid w:val="00241CC0"/>
    <w:rsid w:val="00244CD1"/>
    <w:rsid w:val="00262198"/>
    <w:rsid w:val="00262B67"/>
    <w:rsid w:val="00263C11"/>
    <w:rsid w:val="00263DD0"/>
    <w:rsid w:val="00267408"/>
    <w:rsid w:val="0027005F"/>
    <w:rsid w:val="002702C3"/>
    <w:rsid w:val="002742B7"/>
    <w:rsid w:val="00275F88"/>
    <w:rsid w:val="00280687"/>
    <w:rsid w:val="0028091A"/>
    <w:rsid w:val="002841D9"/>
    <w:rsid w:val="00287865"/>
    <w:rsid w:val="00295BF0"/>
    <w:rsid w:val="00296081"/>
    <w:rsid w:val="002A235B"/>
    <w:rsid w:val="002A610B"/>
    <w:rsid w:val="002B1C1C"/>
    <w:rsid w:val="002C2EFF"/>
    <w:rsid w:val="002C39E9"/>
    <w:rsid w:val="002C74C1"/>
    <w:rsid w:val="002D20E6"/>
    <w:rsid w:val="002D36D1"/>
    <w:rsid w:val="002D40FC"/>
    <w:rsid w:val="002D5809"/>
    <w:rsid w:val="002D6493"/>
    <w:rsid w:val="002D6CFB"/>
    <w:rsid w:val="002E1090"/>
    <w:rsid w:val="002E128D"/>
    <w:rsid w:val="002E2152"/>
    <w:rsid w:val="002E5E83"/>
    <w:rsid w:val="002E76A6"/>
    <w:rsid w:val="002E7928"/>
    <w:rsid w:val="002F56FE"/>
    <w:rsid w:val="002F6C07"/>
    <w:rsid w:val="002F7CD6"/>
    <w:rsid w:val="00301D7F"/>
    <w:rsid w:val="00314C36"/>
    <w:rsid w:val="00316E1C"/>
    <w:rsid w:val="00331CEE"/>
    <w:rsid w:val="00333F9E"/>
    <w:rsid w:val="00334DAF"/>
    <w:rsid w:val="003353E2"/>
    <w:rsid w:val="0034066F"/>
    <w:rsid w:val="0034081C"/>
    <w:rsid w:val="003413F9"/>
    <w:rsid w:val="0034600B"/>
    <w:rsid w:val="00346363"/>
    <w:rsid w:val="0035420F"/>
    <w:rsid w:val="00361288"/>
    <w:rsid w:val="00361C42"/>
    <w:rsid w:val="003622FA"/>
    <w:rsid w:val="00363297"/>
    <w:rsid w:val="00364853"/>
    <w:rsid w:val="003712EE"/>
    <w:rsid w:val="0037540B"/>
    <w:rsid w:val="00376812"/>
    <w:rsid w:val="00380A28"/>
    <w:rsid w:val="003823CB"/>
    <w:rsid w:val="00382D8D"/>
    <w:rsid w:val="00384178"/>
    <w:rsid w:val="00387174"/>
    <w:rsid w:val="003902D6"/>
    <w:rsid w:val="0039136D"/>
    <w:rsid w:val="0039240B"/>
    <w:rsid w:val="003A00CE"/>
    <w:rsid w:val="003A2B37"/>
    <w:rsid w:val="003A7B62"/>
    <w:rsid w:val="003B4AE9"/>
    <w:rsid w:val="003B5BD4"/>
    <w:rsid w:val="003B677E"/>
    <w:rsid w:val="003B7B34"/>
    <w:rsid w:val="003C0281"/>
    <w:rsid w:val="003C0764"/>
    <w:rsid w:val="003C4F3C"/>
    <w:rsid w:val="003D352E"/>
    <w:rsid w:val="003D44B2"/>
    <w:rsid w:val="003D711A"/>
    <w:rsid w:val="003D7B47"/>
    <w:rsid w:val="003E0FC0"/>
    <w:rsid w:val="003E12FD"/>
    <w:rsid w:val="003F56E7"/>
    <w:rsid w:val="0040251A"/>
    <w:rsid w:val="00410F28"/>
    <w:rsid w:val="00411333"/>
    <w:rsid w:val="004216B2"/>
    <w:rsid w:val="00421CD8"/>
    <w:rsid w:val="00427D04"/>
    <w:rsid w:val="00430F18"/>
    <w:rsid w:val="004312EB"/>
    <w:rsid w:val="00431A51"/>
    <w:rsid w:val="00433BE5"/>
    <w:rsid w:val="0044159A"/>
    <w:rsid w:val="0044225C"/>
    <w:rsid w:val="004472BE"/>
    <w:rsid w:val="00452548"/>
    <w:rsid w:val="00457EA6"/>
    <w:rsid w:val="00465841"/>
    <w:rsid w:val="00471017"/>
    <w:rsid w:val="00471887"/>
    <w:rsid w:val="00482977"/>
    <w:rsid w:val="00487851"/>
    <w:rsid w:val="004901FD"/>
    <w:rsid w:val="004A5C52"/>
    <w:rsid w:val="004B1469"/>
    <w:rsid w:val="004B4AB3"/>
    <w:rsid w:val="004C01ED"/>
    <w:rsid w:val="004C04DE"/>
    <w:rsid w:val="004C1DF9"/>
    <w:rsid w:val="004C2A9E"/>
    <w:rsid w:val="004C64AC"/>
    <w:rsid w:val="004C76B9"/>
    <w:rsid w:val="004D586C"/>
    <w:rsid w:val="004D7958"/>
    <w:rsid w:val="004E0171"/>
    <w:rsid w:val="004E16AD"/>
    <w:rsid w:val="004E35DA"/>
    <w:rsid w:val="004E5C84"/>
    <w:rsid w:val="004F3C25"/>
    <w:rsid w:val="004F438A"/>
    <w:rsid w:val="004F47AD"/>
    <w:rsid w:val="004F49EE"/>
    <w:rsid w:val="004F6F49"/>
    <w:rsid w:val="00504971"/>
    <w:rsid w:val="00510297"/>
    <w:rsid w:val="005114BF"/>
    <w:rsid w:val="005123C9"/>
    <w:rsid w:val="005155E0"/>
    <w:rsid w:val="00520EBE"/>
    <w:rsid w:val="00523A4D"/>
    <w:rsid w:val="005248BA"/>
    <w:rsid w:val="005332CB"/>
    <w:rsid w:val="0053336C"/>
    <w:rsid w:val="00534FCD"/>
    <w:rsid w:val="00536167"/>
    <w:rsid w:val="00540CF0"/>
    <w:rsid w:val="0054355E"/>
    <w:rsid w:val="005449D5"/>
    <w:rsid w:val="00547D91"/>
    <w:rsid w:val="005549A4"/>
    <w:rsid w:val="00560880"/>
    <w:rsid w:val="005639A4"/>
    <w:rsid w:val="00564EEB"/>
    <w:rsid w:val="00566F36"/>
    <w:rsid w:val="00572686"/>
    <w:rsid w:val="00574EED"/>
    <w:rsid w:val="005B10CF"/>
    <w:rsid w:val="005B66A6"/>
    <w:rsid w:val="005C20AE"/>
    <w:rsid w:val="005C51DB"/>
    <w:rsid w:val="005C53BA"/>
    <w:rsid w:val="005C6272"/>
    <w:rsid w:val="005C7659"/>
    <w:rsid w:val="005D0033"/>
    <w:rsid w:val="005D0464"/>
    <w:rsid w:val="005D5F99"/>
    <w:rsid w:val="005E4165"/>
    <w:rsid w:val="005F40D5"/>
    <w:rsid w:val="00603BAF"/>
    <w:rsid w:val="006127B1"/>
    <w:rsid w:val="00612998"/>
    <w:rsid w:val="00617785"/>
    <w:rsid w:val="00624173"/>
    <w:rsid w:val="006244CB"/>
    <w:rsid w:val="00624EB2"/>
    <w:rsid w:val="00634F65"/>
    <w:rsid w:val="0063541F"/>
    <w:rsid w:val="00635EC4"/>
    <w:rsid w:val="00637EF5"/>
    <w:rsid w:val="00646BDD"/>
    <w:rsid w:val="00650965"/>
    <w:rsid w:val="00652ACD"/>
    <w:rsid w:val="00653312"/>
    <w:rsid w:val="00655B58"/>
    <w:rsid w:val="00657150"/>
    <w:rsid w:val="00661C1F"/>
    <w:rsid w:val="00666E1E"/>
    <w:rsid w:val="006674BF"/>
    <w:rsid w:val="00673618"/>
    <w:rsid w:val="00675F9B"/>
    <w:rsid w:val="00681B65"/>
    <w:rsid w:val="006853A0"/>
    <w:rsid w:val="006933C0"/>
    <w:rsid w:val="00693629"/>
    <w:rsid w:val="00693B15"/>
    <w:rsid w:val="006952C5"/>
    <w:rsid w:val="00696849"/>
    <w:rsid w:val="006A54A8"/>
    <w:rsid w:val="006B0ACF"/>
    <w:rsid w:val="006B11C9"/>
    <w:rsid w:val="006B2D1D"/>
    <w:rsid w:val="006B68DA"/>
    <w:rsid w:val="006B71FF"/>
    <w:rsid w:val="006C60AA"/>
    <w:rsid w:val="006C6855"/>
    <w:rsid w:val="006C7D44"/>
    <w:rsid w:val="006D4326"/>
    <w:rsid w:val="006D4FC7"/>
    <w:rsid w:val="006D55FD"/>
    <w:rsid w:val="006E1F72"/>
    <w:rsid w:val="006E2251"/>
    <w:rsid w:val="006E7B42"/>
    <w:rsid w:val="006E7D30"/>
    <w:rsid w:val="006F0C8B"/>
    <w:rsid w:val="006F1D8D"/>
    <w:rsid w:val="006F5BE7"/>
    <w:rsid w:val="006F61E6"/>
    <w:rsid w:val="006F7A3F"/>
    <w:rsid w:val="006F7EFA"/>
    <w:rsid w:val="00710A62"/>
    <w:rsid w:val="00715D6C"/>
    <w:rsid w:val="00721CB6"/>
    <w:rsid w:val="00723C6F"/>
    <w:rsid w:val="00732D7C"/>
    <w:rsid w:val="00737FE2"/>
    <w:rsid w:val="00741126"/>
    <w:rsid w:val="007427C7"/>
    <w:rsid w:val="007475D1"/>
    <w:rsid w:val="00753D6C"/>
    <w:rsid w:val="0075481B"/>
    <w:rsid w:val="007567C8"/>
    <w:rsid w:val="00756A48"/>
    <w:rsid w:val="00756D1F"/>
    <w:rsid w:val="00760BF7"/>
    <w:rsid w:val="00762389"/>
    <w:rsid w:val="00762F12"/>
    <w:rsid w:val="00762FD0"/>
    <w:rsid w:val="007631C7"/>
    <w:rsid w:val="007636FD"/>
    <w:rsid w:val="00765828"/>
    <w:rsid w:val="007670C7"/>
    <w:rsid w:val="00774002"/>
    <w:rsid w:val="007752FB"/>
    <w:rsid w:val="007768F5"/>
    <w:rsid w:val="00781217"/>
    <w:rsid w:val="00782D77"/>
    <w:rsid w:val="00782F12"/>
    <w:rsid w:val="007845D8"/>
    <w:rsid w:val="00785030"/>
    <w:rsid w:val="00794A55"/>
    <w:rsid w:val="007958D6"/>
    <w:rsid w:val="00797B76"/>
    <w:rsid w:val="007A32EF"/>
    <w:rsid w:val="007A345F"/>
    <w:rsid w:val="007B09EC"/>
    <w:rsid w:val="007B5DBF"/>
    <w:rsid w:val="007C5D18"/>
    <w:rsid w:val="007D05D6"/>
    <w:rsid w:val="007D11D3"/>
    <w:rsid w:val="007D208D"/>
    <w:rsid w:val="007D429F"/>
    <w:rsid w:val="007D56AE"/>
    <w:rsid w:val="007D6AB8"/>
    <w:rsid w:val="007E08CF"/>
    <w:rsid w:val="007E09AC"/>
    <w:rsid w:val="007E161E"/>
    <w:rsid w:val="007E2DF3"/>
    <w:rsid w:val="007E3484"/>
    <w:rsid w:val="007E6CCF"/>
    <w:rsid w:val="007E71F0"/>
    <w:rsid w:val="007F11FE"/>
    <w:rsid w:val="007F1AD7"/>
    <w:rsid w:val="0080093E"/>
    <w:rsid w:val="00800D17"/>
    <w:rsid w:val="00800E8F"/>
    <w:rsid w:val="0080137D"/>
    <w:rsid w:val="008107E4"/>
    <w:rsid w:val="00812436"/>
    <w:rsid w:val="00814057"/>
    <w:rsid w:val="00814993"/>
    <w:rsid w:val="008149BF"/>
    <w:rsid w:val="00820493"/>
    <w:rsid w:val="00821154"/>
    <w:rsid w:val="0082798C"/>
    <w:rsid w:val="00841C34"/>
    <w:rsid w:val="008572CB"/>
    <w:rsid w:val="008578CA"/>
    <w:rsid w:val="00861F88"/>
    <w:rsid w:val="00863438"/>
    <w:rsid w:val="00864305"/>
    <w:rsid w:val="008669E9"/>
    <w:rsid w:val="008676E0"/>
    <w:rsid w:val="008759D5"/>
    <w:rsid w:val="00877FA1"/>
    <w:rsid w:val="00880B9F"/>
    <w:rsid w:val="00882BC7"/>
    <w:rsid w:val="00884C3F"/>
    <w:rsid w:val="0089202B"/>
    <w:rsid w:val="0089413F"/>
    <w:rsid w:val="00894801"/>
    <w:rsid w:val="00896D29"/>
    <w:rsid w:val="008A0054"/>
    <w:rsid w:val="008A139A"/>
    <w:rsid w:val="008A5BA9"/>
    <w:rsid w:val="008C2520"/>
    <w:rsid w:val="008C36CC"/>
    <w:rsid w:val="008C4647"/>
    <w:rsid w:val="008D3B52"/>
    <w:rsid w:val="008D43F8"/>
    <w:rsid w:val="008D739E"/>
    <w:rsid w:val="008D77DA"/>
    <w:rsid w:val="008F0BD6"/>
    <w:rsid w:val="008F14B7"/>
    <w:rsid w:val="008F3221"/>
    <w:rsid w:val="00901422"/>
    <w:rsid w:val="00901D0F"/>
    <w:rsid w:val="00902400"/>
    <w:rsid w:val="009044C1"/>
    <w:rsid w:val="00904DC6"/>
    <w:rsid w:val="00905BA3"/>
    <w:rsid w:val="0090623E"/>
    <w:rsid w:val="0092017B"/>
    <w:rsid w:val="00920B67"/>
    <w:rsid w:val="00927A64"/>
    <w:rsid w:val="00930EB6"/>
    <w:rsid w:val="0093263D"/>
    <w:rsid w:val="0093734E"/>
    <w:rsid w:val="009457D5"/>
    <w:rsid w:val="00945C41"/>
    <w:rsid w:val="00950B37"/>
    <w:rsid w:val="00961368"/>
    <w:rsid w:val="009633EA"/>
    <w:rsid w:val="00964A5A"/>
    <w:rsid w:val="009748F3"/>
    <w:rsid w:val="009755FD"/>
    <w:rsid w:val="00984506"/>
    <w:rsid w:val="00997DFF"/>
    <w:rsid w:val="009A3F9C"/>
    <w:rsid w:val="009A5D0C"/>
    <w:rsid w:val="009A7DB8"/>
    <w:rsid w:val="009C689D"/>
    <w:rsid w:val="009C7BF3"/>
    <w:rsid w:val="009D5482"/>
    <w:rsid w:val="009E21C1"/>
    <w:rsid w:val="009E3B91"/>
    <w:rsid w:val="009F3BAB"/>
    <w:rsid w:val="009F54FE"/>
    <w:rsid w:val="009F671F"/>
    <w:rsid w:val="00A21263"/>
    <w:rsid w:val="00A21C61"/>
    <w:rsid w:val="00A22DEE"/>
    <w:rsid w:val="00A3054D"/>
    <w:rsid w:val="00A34AEE"/>
    <w:rsid w:val="00A375E6"/>
    <w:rsid w:val="00A4031E"/>
    <w:rsid w:val="00A41466"/>
    <w:rsid w:val="00A43080"/>
    <w:rsid w:val="00A57CC5"/>
    <w:rsid w:val="00A63187"/>
    <w:rsid w:val="00A6321B"/>
    <w:rsid w:val="00A654B1"/>
    <w:rsid w:val="00A65B99"/>
    <w:rsid w:val="00A7413D"/>
    <w:rsid w:val="00A76224"/>
    <w:rsid w:val="00A84E6C"/>
    <w:rsid w:val="00A860DC"/>
    <w:rsid w:val="00A86E0D"/>
    <w:rsid w:val="00A90679"/>
    <w:rsid w:val="00A91B2F"/>
    <w:rsid w:val="00A94B46"/>
    <w:rsid w:val="00A974B7"/>
    <w:rsid w:val="00AB200A"/>
    <w:rsid w:val="00AB296C"/>
    <w:rsid w:val="00AB309E"/>
    <w:rsid w:val="00AB71F6"/>
    <w:rsid w:val="00AC1848"/>
    <w:rsid w:val="00AC26A2"/>
    <w:rsid w:val="00AC38B0"/>
    <w:rsid w:val="00AC4684"/>
    <w:rsid w:val="00AC4A17"/>
    <w:rsid w:val="00AE0058"/>
    <w:rsid w:val="00AE1614"/>
    <w:rsid w:val="00AF76B3"/>
    <w:rsid w:val="00B0017A"/>
    <w:rsid w:val="00B00A75"/>
    <w:rsid w:val="00B014C8"/>
    <w:rsid w:val="00B01A43"/>
    <w:rsid w:val="00B03A2C"/>
    <w:rsid w:val="00B04AFC"/>
    <w:rsid w:val="00B1422A"/>
    <w:rsid w:val="00B1509B"/>
    <w:rsid w:val="00B245C8"/>
    <w:rsid w:val="00B250C0"/>
    <w:rsid w:val="00B2590A"/>
    <w:rsid w:val="00B26748"/>
    <w:rsid w:val="00B33125"/>
    <w:rsid w:val="00B43CC7"/>
    <w:rsid w:val="00B45785"/>
    <w:rsid w:val="00B45972"/>
    <w:rsid w:val="00B554A3"/>
    <w:rsid w:val="00B55C76"/>
    <w:rsid w:val="00B62C13"/>
    <w:rsid w:val="00B65BBD"/>
    <w:rsid w:val="00B67044"/>
    <w:rsid w:val="00B760D7"/>
    <w:rsid w:val="00B76BE6"/>
    <w:rsid w:val="00B77285"/>
    <w:rsid w:val="00B819CE"/>
    <w:rsid w:val="00B879CD"/>
    <w:rsid w:val="00B92507"/>
    <w:rsid w:val="00B92B71"/>
    <w:rsid w:val="00BB1511"/>
    <w:rsid w:val="00BB1B7D"/>
    <w:rsid w:val="00BB1DBD"/>
    <w:rsid w:val="00BB23EA"/>
    <w:rsid w:val="00BB393E"/>
    <w:rsid w:val="00BB4003"/>
    <w:rsid w:val="00BC47DA"/>
    <w:rsid w:val="00BC5010"/>
    <w:rsid w:val="00BD0FB9"/>
    <w:rsid w:val="00BD6E4F"/>
    <w:rsid w:val="00BD7F3F"/>
    <w:rsid w:val="00BE10CB"/>
    <w:rsid w:val="00BE3A5E"/>
    <w:rsid w:val="00BE6209"/>
    <w:rsid w:val="00BF28A3"/>
    <w:rsid w:val="00BF6ACE"/>
    <w:rsid w:val="00BF6CDB"/>
    <w:rsid w:val="00C05AC8"/>
    <w:rsid w:val="00C07046"/>
    <w:rsid w:val="00C07260"/>
    <w:rsid w:val="00C10B0E"/>
    <w:rsid w:val="00C10FCB"/>
    <w:rsid w:val="00C1199A"/>
    <w:rsid w:val="00C12736"/>
    <w:rsid w:val="00C2072F"/>
    <w:rsid w:val="00C30C6C"/>
    <w:rsid w:val="00C60180"/>
    <w:rsid w:val="00C62A32"/>
    <w:rsid w:val="00C62D1E"/>
    <w:rsid w:val="00C74E33"/>
    <w:rsid w:val="00C81653"/>
    <w:rsid w:val="00C82E26"/>
    <w:rsid w:val="00C85313"/>
    <w:rsid w:val="00C87FC4"/>
    <w:rsid w:val="00C94CB6"/>
    <w:rsid w:val="00C95C70"/>
    <w:rsid w:val="00C964DA"/>
    <w:rsid w:val="00CB77D5"/>
    <w:rsid w:val="00CC0882"/>
    <w:rsid w:val="00CC3A71"/>
    <w:rsid w:val="00CC4468"/>
    <w:rsid w:val="00CC4B3E"/>
    <w:rsid w:val="00CC7172"/>
    <w:rsid w:val="00CD04E6"/>
    <w:rsid w:val="00CD1267"/>
    <w:rsid w:val="00CD6241"/>
    <w:rsid w:val="00CE0E93"/>
    <w:rsid w:val="00CE1636"/>
    <w:rsid w:val="00CE5623"/>
    <w:rsid w:val="00CF3737"/>
    <w:rsid w:val="00D14C7C"/>
    <w:rsid w:val="00D17775"/>
    <w:rsid w:val="00D27D2B"/>
    <w:rsid w:val="00D30D22"/>
    <w:rsid w:val="00D4234B"/>
    <w:rsid w:val="00D4626F"/>
    <w:rsid w:val="00D46C1C"/>
    <w:rsid w:val="00D5376D"/>
    <w:rsid w:val="00D56B50"/>
    <w:rsid w:val="00D57A55"/>
    <w:rsid w:val="00D60DD1"/>
    <w:rsid w:val="00D610A1"/>
    <w:rsid w:val="00D650D9"/>
    <w:rsid w:val="00D73812"/>
    <w:rsid w:val="00D74C95"/>
    <w:rsid w:val="00D75A6C"/>
    <w:rsid w:val="00D80854"/>
    <w:rsid w:val="00D81411"/>
    <w:rsid w:val="00D90D13"/>
    <w:rsid w:val="00DA3A93"/>
    <w:rsid w:val="00DB4F3A"/>
    <w:rsid w:val="00DB51FB"/>
    <w:rsid w:val="00DB6847"/>
    <w:rsid w:val="00DC0774"/>
    <w:rsid w:val="00DC5671"/>
    <w:rsid w:val="00DC627E"/>
    <w:rsid w:val="00DC62D9"/>
    <w:rsid w:val="00DC6487"/>
    <w:rsid w:val="00DC7922"/>
    <w:rsid w:val="00DD2926"/>
    <w:rsid w:val="00DD4B50"/>
    <w:rsid w:val="00DD4E53"/>
    <w:rsid w:val="00DD5E4F"/>
    <w:rsid w:val="00DD7869"/>
    <w:rsid w:val="00DE0133"/>
    <w:rsid w:val="00DE024B"/>
    <w:rsid w:val="00DE1D32"/>
    <w:rsid w:val="00DF338A"/>
    <w:rsid w:val="00DF548E"/>
    <w:rsid w:val="00DF72C2"/>
    <w:rsid w:val="00E02F43"/>
    <w:rsid w:val="00E114CF"/>
    <w:rsid w:val="00E16869"/>
    <w:rsid w:val="00E16998"/>
    <w:rsid w:val="00E23D75"/>
    <w:rsid w:val="00E24687"/>
    <w:rsid w:val="00E31020"/>
    <w:rsid w:val="00E35980"/>
    <w:rsid w:val="00E36131"/>
    <w:rsid w:val="00E40573"/>
    <w:rsid w:val="00E4070D"/>
    <w:rsid w:val="00E41EF6"/>
    <w:rsid w:val="00E52112"/>
    <w:rsid w:val="00E52C85"/>
    <w:rsid w:val="00E74405"/>
    <w:rsid w:val="00E779C7"/>
    <w:rsid w:val="00E82BA3"/>
    <w:rsid w:val="00E92001"/>
    <w:rsid w:val="00EA07D1"/>
    <w:rsid w:val="00EA13E2"/>
    <w:rsid w:val="00EA173A"/>
    <w:rsid w:val="00EA2F3F"/>
    <w:rsid w:val="00EA345A"/>
    <w:rsid w:val="00EB5BEF"/>
    <w:rsid w:val="00EC05D9"/>
    <w:rsid w:val="00EC1492"/>
    <w:rsid w:val="00EC1C3E"/>
    <w:rsid w:val="00ED02A4"/>
    <w:rsid w:val="00ED3BB9"/>
    <w:rsid w:val="00ED45A0"/>
    <w:rsid w:val="00ED53F6"/>
    <w:rsid w:val="00ED7574"/>
    <w:rsid w:val="00EE60FD"/>
    <w:rsid w:val="00EF2BB4"/>
    <w:rsid w:val="00EF41CA"/>
    <w:rsid w:val="00F02EB4"/>
    <w:rsid w:val="00F04EEC"/>
    <w:rsid w:val="00F15770"/>
    <w:rsid w:val="00F176DA"/>
    <w:rsid w:val="00F20416"/>
    <w:rsid w:val="00F21BA1"/>
    <w:rsid w:val="00F237C1"/>
    <w:rsid w:val="00F24C59"/>
    <w:rsid w:val="00F257EE"/>
    <w:rsid w:val="00F26554"/>
    <w:rsid w:val="00F3097A"/>
    <w:rsid w:val="00F33D6C"/>
    <w:rsid w:val="00F40F3B"/>
    <w:rsid w:val="00F412F6"/>
    <w:rsid w:val="00F42743"/>
    <w:rsid w:val="00F51740"/>
    <w:rsid w:val="00F51F30"/>
    <w:rsid w:val="00F523E7"/>
    <w:rsid w:val="00F52871"/>
    <w:rsid w:val="00F5320C"/>
    <w:rsid w:val="00F56CBB"/>
    <w:rsid w:val="00F606D3"/>
    <w:rsid w:val="00F61ACB"/>
    <w:rsid w:val="00F640F7"/>
    <w:rsid w:val="00F6654E"/>
    <w:rsid w:val="00F66E67"/>
    <w:rsid w:val="00F707FF"/>
    <w:rsid w:val="00F71B96"/>
    <w:rsid w:val="00F73033"/>
    <w:rsid w:val="00F77586"/>
    <w:rsid w:val="00F813BB"/>
    <w:rsid w:val="00F85DC1"/>
    <w:rsid w:val="00F8684B"/>
    <w:rsid w:val="00FA0BD4"/>
    <w:rsid w:val="00FA3E8E"/>
    <w:rsid w:val="00FA5420"/>
    <w:rsid w:val="00FB12A6"/>
    <w:rsid w:val="00FB574E"/>
    <w:rsid w:val="00FC03FD"/>
    <w:rsid w:val="00FC40FE"/>
    <w:rsid w:val="00FC468E"/>
    <w:rsid w:val="00FD028C"/>
    <w:rsid w:val="00FE0273"/>
    <w:rsid w:val="00FF7941"/>
    <w:rsid w:val="04856BA7"/>
    <w:rsid w:val="0C4F6E5A"/>
    <w:rsid w:val="19FB17CB"/>
    <w:rsid w:val="1B4E0050"/>
    <w:rsid w:val="2C971FB6"/>
    <w:rsid w:val="2F211654"/>
    <w:rsid w:val="347A30AA"/>
    <w:rsid w:val="34C4075D"/>
    <w:rsid w:val="43396107"/>
    <w:rsid w:val="46CF1256"/>
    <w:rsid w:val="52243289"/>
    <w:rsid w:val="5A3D2566"/>
    <w:rsid w:val="6C543A55"/>
    <w:rsid w:val="701A2C4B"/>
    <w:rsid w:val="76973BF3"/>
    <w:rsid w:val="783D7DC9"/>
    <w:rsid w:val="7A662E2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unhideWhenUsed="0" w:uiPriority="0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qFormat="1"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qFormat="1" w:unhideWhenUsed="0" w:uiPriority="0" w:semiHidden="0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0" w:semiHidden="0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65"/>
    <w:qFormat/>
    <w:uiPriority w:val="0"/>
    <w:pPr>
      <w:outlineLvl w:val="2"/>
    </w:pPr>
    <w:rPr>
      <w:rFonts w:ascii="Times New Roman" w:hAnsi="Times New Roman" w:eastAsia="仿宋_GB2312" w:cs="Times New Roman"/>
      <w:sz w:val="32"/>
      <w:szCs w:val="24"/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64"/>
    <w:qFormat/>
    <w:uiPriority w:val="0"/>
    <w:pPr>
      <w:spacing w:after="120"/>
    </w:pPr>
    <w:rPr>
      <w:rFonts w:ascii="Times New Roman" w:hAnsi="Times New Roman" w:eastAsia="宋体" w:cs="Times New Roman"/>
      <w:sz w:val="28"/>
      <w:szCs w:val="28"/>
    </w:rPr>
  </w:style>
  <w:style w:type="paragraph" w:styleId="4">
    <w:name w:val="Body Text Indent"/>
    <w:basedOn w:val="1"/>
    <w:link w:val="34"/>
    <w:unhideWhenUsed/>
    <w:qFormat/>
    <w:uiPriority w:val="99"/>
    <w:pPr>
      <w:spacing w:after="120"/>
      <w:ind w:left="420" w:leftChars="200"/>
    </w:pPr>
  </w:style>
  <w:style w:type="paragraph" w:styleId="5">
    <w:name w:val="Date"/>
    <w:basedOn w:val="1"/>
    <w:next w:val="1"/>
    <w:link w:val="28"/>
    <w:semiHidden/>
    <w:unhideWhenUsed/>
    <w:qFormat/>
    <w:uiPriority w:val="99"/>
    <w:pPr>
      <w:ind w:left="100" w:leftChars="2500"/>
    </w:pPr>
  </w:style>
  <w:style w:type="paragraph" w:styleId="6">
    <w:name w:val="Body Text Indent 2"/>
    <w:basedOn w:val="1"/>
    <w:link w:val="32"/>
    <w:qFormat/>
    <w:uiPriority w:val="0"/>
    <w:pPr>
      <w:ind w:firstLine="570"/>
    </w:pPr>
    <w:rPr>
      <w:rFonts w:ascii="Times New Roman" w:hAnsi="Times New Roman" w:eastAsia="宋体" w:cs="Times New Roman"/>
      <w:sz w:val="28"/>
      <w:szCs w:val="24"/>
    </w:rPr>
  </w:style>
  <w:style w:type="paragraph" w:styleId="7">
    <w:name w:val="Balloon Text"/>
    <w:basedOn w:val="1"/>
    <w:link w:val="29"/>
    <w:unhideWhenUsed/>
    <w:qFormat/>
    <w:uiPriority w:val="0"/>
    <w:rPr>
      <w:sz w:val="18"/>
      <w:szCs w:val="18"/>
    </w:rPr>
  </w:style>
  <w:style w:type="paragraph" w:styleId="8">
    <w:name w:val="footer"/>
    <w:basedOn w:val="1"/>
    <w:link w:val="2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25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1"/>
    <w:next w:val="1"/>
    <w:qFormat/>
    <w:uiPriority w:val="0"/>
    <w:rPr>
      <w:rFonts w:ascii="Times New Roman" w:hAnsi="Times New Roman" w:eastAsia="宋体" w:cs="Times New Roman"/>
      <w:sz w:val="28"/>
      <w:szCs w:val="28"/>
    </w:rPr>
  </w:style>
  <w:style w:type="paragraph" w:styleId="11">
    <w:name w:val="toc 2"/>
    <w:basedOn w:val="1"/>
    <w:next w:val="1"/>
    <w:uiPriority w:val="0"/>
    <w:pPr>
      <w:ind w:left="420" w:leftChars="200"/>
    </w:pPr>
    <w:rPr>
      <w:rFonts w:ascii="Times New Roman" w:hAnsi="Times New Roman" w:eastAsia="宋体" w:cs="Times New Roman"/>
      <w:sz w:val="28"/>
      <w:szCs w:val="28"/>
    </w:rPr>
  </w:style>
  <w:style w:type="paragraph" w:styleId="12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3">
    <w:name w:val="Title"/>
    <w:basedOn w:val="1"/>
    <w:next w:val="1"/>
    <w:link w:val="39"/>
    <w:qFormat/>
    <w:uiPriority w:val="10"/>
    <w:pPr>
      <w:spacing w:before="240" w:after="60"/>
      <w:jc w:val="center"/>
      <w:outlineLvl w:val="0"/>
    </w:pPr>
    <w:rPr>
      <w:rFonts w:ascii="Cambria" w:hAnsi="Cambria" w:eastAsia="宋体" w:cs="Times New Roman"/>
      <w:b/>
      <w:bCs/>
      <w:sz w:val="32"/>
      <w:szCs w:val="32"/>
    </w:rPr>
  </w:style>
  <w:style w:type="paragraph" w:styleId="14">
    <w:name w:val="Body Text First Indent 2"/>
    <w:basedOn w:val="4"/>
    <w:link w:val="35"/>
    <w:semiHidden/>
    <w:unhideWhenUsed/>
    <w:qFormat/>
    <w:uiPriority w:val="99"/>
    <w:pPr>
      <w:ind w:firstLine="420" w:firstLineChars="200"/>
    </w:pPr>
  </w:style>
  <w:style w:type="table" w:styleId="16">
    <w:name w:val="Table Grid"/>
    <w:basedOn w:val="15"/>
    <w:qFormat/>
    <w:uiPriority w:val="99"/>
    <w:rPr>
      <w:rFonts w:ascii="Times New Roman" w:hAnsi="Times New Roman" w:eastAsia="宋体" w:cs="Times New Roman"/>
      <w:lang w:bidi="mn-Mong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8">
    <w:name w:val="Strong"/>
    <w:basedOn w:val="17"/>
    <w:qFormat/>
    <w:uiPriority w:val="22"/>
    <w:rPr>
      <w:b/>
      <w:bCs/>
    </w:rPr>
  </w:style>
  <w:style w:type="character" w:styleId="19">
    <w:name w:val="FollowedHyperlink"/>
    <w:qFormat/>
    <w:uiPriority w:val="0"/>
    <w:rPr>
      <w:color w:val="800080"/>
      <w:u w:val="none"/>
    </w:rPr>
  </w:style>
  <w:style w:type="character" w:styleId="20">
    <w:name w:val="HTML Definition"/>
    <w:qFormat/>
    <w:uiPriority w:val="0"/>
  </w:style>
  <w:style w:type="character" w:styleId="21">
    <w:name w:val="HTML Variable"/>
    <w:qFormat/>
    <w:uiPriority w:val="0"/>
  </w:style>
  <w:style w:type="character" w:styleId="22">
    <w:name w:val="Hyperlink"/>
    <w:qFormat/>
    <w:uiPriority w:val="0"/>
    <w:rPr>
      <w:color w:val="0000FF"/>
      <w:u w:val="none"/>
    </w:rPr>
  </w:style>
  <w:style w:type="character" w:styleId="23">
    <w:name w:val="HTML Code"/>
    <w:qFormat/>
    <w:uiPriority w:val="0"/>
    <w:rPr>
      <w:rFonts w:ascii="Courier New" w:hAnsi="Courier New"/>
      <w:sz w:val="20"/>
    </w:rPr>
  </w:style>
  <w:style w:type="character" w:styleId="24">
    <w:name w:val="HTML Cite"/>
    <w:qFormat/>
    <w:uiPriority w:val="0"/>
  </w:style>
  <w:style w:type="character" w:customStyle="1" w:styleId="25">
    <w:name w:val="页眉 Char"/>
    <w:basedOn w:val="17"/>
    <w:link w:val="9"/>
    <w:qFormat/>
    <w:uiPriority w:val="99"/>
    <w:rPr>
      <w:sz w:val="18"/>
      <w:szCs w:val="18"/>
    </w:rPr>
  </w:style>
  <w:style w:type="character" w:customStyle="1" w:styleId="26">
    <w:name w:val="页脚 Char"/>
    <w:basedOn w:val="17"/>
    <w:link w:val="8"/>
    <w:qFormat/>
    <w:uiPriority w:val="99"/>
    <w:rPr>
      <w:sz w:val="18"/>
      <w:szCs w:val="18"/>
    </w:rPr>
  </w:style>
  <w:style w:type="paragraph" w:styleId="27">
    <w:name w:val="List Paragraph"/>
    <w:basedOn w:val="1"/>
    <w:qFormat/>
    <w:uiPriority w:val="99"/>
    <w:pPr>
      <w:ind w:firstLine="420" w:firstLineChars="200"/>
    </w:pPr>
  </w:style>
  <w:style w:type="character" w:customStyle="1" w:styleId="28">
    <w:name w:val="日期 Char"/>
    <w:basedOn w:val="17"/>
    <w:link w:val="5"/>
    <w:semiHidden/>
    <w:qFormat/>
    <w:uiPriority w:val="99"/>
    <w:rPr>
      <w:kern w:val="2"/>
      <w:sz w:val="21"/>
      <w:szCs w:val="22"/>
    </w:rPr>
  </w:style>
  <w:style w:type="character" w:customStyle="1" w:styleId="29">
    <w:name w:val="批注框文本 Char"/>
    <w:basedOn w:val="17"/>
    <w:link w:val="7"/>
    <w:semiHidden/>
    <w:qFormat/>
    <w:uiPriority w:val="99"/>
    <w:rPr>
      <w:kern w:val="2"/>
      <w:sz w:val="18"/>
      <w:szCs w:val="18"/>
    </w:rPr>
  </w:style>
  <w:style w:type="paragraph" w:customStyle="1" w:styleId="30">
    <w:name w:val="我的正文"/>
    <w:basedOn w:val="1"/>
    <w:link w:val="31"/>
    <w:qFormat/>
    <w:uiPriority w:val="0"/>
    <w:pPr>
      <w:adjustRightInd w:val="0"/>
      <w:snapToGrid w:val="0"/>
      <w:spacing w:line="560" w:lineRule="exact"/>
      <w:ind w:firstLine="420" w:firstLineChars="200"/>
    </w:pPr>
    <w:rPr>
      <w:rFonts w:ascii="仿宋_GB2312" w:hAnsi="仿宋_GB2312" w:eastAsia="仿宋_GB2312"/>
      <w:sz w:val="32"/>
      <w:szCs w:val="24"/>
    </w:rPr>
  </w:style>
  <w:style w:type="character" w:customStyle="1" w:styleId="31">
    <w:name w:val="我的正文 Char"/>
    <w:link w:val="30"/>
    <w:qFormat/>
    <w:uiPriority w:val="0"/>
    <w:rPr>
      <w:rFonts w:ascii="仿宋_GB2312" w:hAnsi="仿宋_GB2312" w:eastAsia="仿宋_GB2312"/>
      <w:kern w:val="2"/>
      <w:sz w:val="32"/>
      <w:szCs w:val="24"/>
    </w:rPr>
  </w:style>
  <w:style w:type="character" w:customStyle="1" w:styleId="32">
    <w:name w:val="正文文本缩进 2 Char"/>
    <w:basedOn w:val="17"/>
    <w:link w:val="6"/>
    <w:qFormat/>
    <w:uiPriority w:val="0"/>
    <w:rPr>
      <w:rFonts w:ascii="Times New Roman" w:hAnsi="Times New Roman" w:eastAsia="宋体" w:cs="Times New Roman"/>
      <w:kern w:val="2"/>
      <w:sz w:val="28"/>
      <w:szCs w:val="24"/>
    </w:rPr>
  </w:style>
  <w:style w:type="character" w:customStyle="1" w:styleId="33">
    <w:name w:val="NormalCharacter"/>
    <w:semiHidden/>
    <w:qFormat/>
    <w:uiPriority w:val="0"/>
  </w:style>
  <w:style w:type="character" w:customStyle="1" w:styleId="34">
    <w:name w:val="正文文本缩进 Char"/>
    <w:basedOn w:val="17"/>
    <w:link w:val="4"/>
    <w:semiHidden/>
    <w:qFormat/>
    <w:uiPriority w:val="99"/>
    <w:rPr>
      <w:kern w:val="2"/>
      <w:sz w:val="21"/>
      <w:szCs w:val="22"/>
    </w:rPr>
  </w:style>
  <w:style w:type="character" w:customStyle="1" w:styleId="35">
    <w:name w:val="正文首行缩进 2 Char"/>
    <w:basedOn w:val="34"/>
    <w:link w:val="14"/>
    <w:semiHidden/>
    <w:qFormat/>
    <w:uiPriority w:val="99"/>
    <w:rPr>
      <w:kern w:val="2"/>
      <w:sz w:val="21"/>
      <w:szCs w:val="22"/>
    </w:rPr>
  </w:style>
  <w:style w:type="character" w:customStyle="1" w:styleId="36">
    <w:name w:val="批注框文本 字符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37">
    <w:name w:val="页脚 字符"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38">
    <w:name w:val="页眉 字符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39">
    <w:name w:val="标题 Char"/>
    <w:basedOn w:val="17"/>
    <w:link w:val="13"/>
    <w:qFormat/>
    <w:uiPriority w:val="10"/>
    <w:rPr>
      <w:rFonts w:ascii="Cambria" w:hAnsi="Cambria" w:eastAsia="宋体" w:cs="Times New Roman"/>
      <w:b/>
      <w:bCs/>
      <w:kern w:val="2"/>
      <w:sz w:val="32"/>
      <w:szCs w:val="32"/>
    </w:rPr>
  </w:style>
  <w:style w:type="paragraph" w:customStyle="1" w:styleId="40">
    <w:name w:val="_Style 30"/>
    <w:basedOn w:val="1"/>
    <w:next w:val="27"/>
    <w:qFormat/>
    <w:uiPriority w:val="99"/>
    <w:pPr>
      <w:ind w:firstLine="420" w:firstLineChars="200"/>
    </w:pPr>
    <w:rPr>
      <w:rFonts w:ascii="Calibri" w:hAnsi="Calibri" w:eastAsia="宋体" w:cs="Times New Roman"/>
      <w:szCs w:val="24"/>
    </w:rPr>
  </w:style>
  <w:style w:type="character" w:customStyle="1" w:styleId="41">
    <w:name w:val="openeye"/>
    <w:qFormat/>
    <w:uiPriority w:val="0"/>
  </w:style>
  <w:style w:type="character" w:customStyle="1" w:styleId="42">
    <w:name w:val="closeeye"/>
    <w:qFormat/>
    <w:uiPriority w:val="0"/>
  </w:style>
  <w:style w:type="character" w:customStyle="1" w:styleId="43">
    <w:name w:val="gwds_nopic"/>
    <w:qFormat/>
    <w:uiPriority w:val="0"/>
  </w:style>
  <w:style w:type="character" w:customStyle="1" w:styleId="44">
    <w:name w:val="remaintime"/>
    <w:qFormat/>
    <w:uiPriority w:val="0"/>
    <w:rPr>
      <w:color w:val="000000"/>
      <w:shd w:val="clear" w:color="auto" w:fill="CACACA"/>
    </w:rPr>
  </w:style>
  <w:style w:type="character" w:customStyle="1" w:styleId="45">
    <w:name w:val="seepass"/>
    <w:qFormat/>
    <w:uiPriority w:val="0"/>
  </w:style>
  <w:style w:type="character" w:customStyle="1" w:styleId="46">
    <w:name w:val="on2"/>
    <w:qFormat/>
    <w:uiPriority w:val="0"/>
    <w:rPr>
      <w:color w:val="FFFFFF"/>
      <w:bdr w:val="single" w:color="C9100E" w:sz="4" w:space="0"/>
      <w:shd w:val="clear" w:color="auto" w:fill="C9100E"/>
    </w:rPr>
  </w:style>
  <w:style w:type="character" w:customStyle="1" w:styleId="47">
    <w:name w:val="laypage_curr"/>
    <w:qFormat/>
    <w:uiPriority w:val="0"/>
    <w:rPr>
      <w:color w:val="FFFDF4"/>
      <w:shd w:val="clear" w:color="auto" w:fill="0B67A6"/>
    </w:rPr>
  </w:style>
  <w:style w:type="character" w:customStyle="1" w:styleId="48">
    <w:name w:val="hidepass"/>
    <w:qFormat/>
    <w:uiPriority w:val="0"/>
  </w:style>
  <w:style w:type="character" w:customStyle="1" w:styleId="49">
    <w:name w:val="eyespan"/>
    <w:qFormat/>
    <w:uiPriority w:val="0"/>
  </w:style>
  <w:style w:type="character" w:customStyle="1" w:styleId="50">
    <w:name w:val="hover16"/>
    <w:qFormat/>
    <w:uiPriority w:val="0"/>
    <w:rPr>
      <w:color w:val="025291"/>
    </w:rPr>
  </w:style>
  <w:style w:type="character" w:customStyle="1" w:styleId="51">
    <w:name w:val="place2"/>
    <w:qFormat/>
    <w:uiPriority w:val="0"/>
    <w:rPr>
      <w:rFonts w:ascii="微软雅黑" w:hAnsi="微软雅黑" w:eastAsia="微软雅黑" w:cs="微软雅黑"/>
      <w:color w:val="888888"/>
      <w:sz w:val="20"/>
      <w:szCs w:val="20"/>
    </w:rPr>
  </w:style>
  <w:style w:type="character" w:customStyle="1" w:styleId="52">
    <w:name w:val="hover"/>
    <w:qFormat/>
    <w:uiPriority w:val="0"/>
    <w:rPr>
      <w:color w:val="025291"/>
    </w:rPr>
  </w:style>
  <w:style w:type="character" w:customStyle="1" w:styleId="53">
    <w:name w:val="font1"/>
    <w:qFormat/>
    <w:uiPriority w:val="0"/>
  </w:style>
  <w:style w:type="character" w:customStyle="1" w:styleId="54">
    <w:name w:val="gwds_nopic2"/>
    <w:qFormat/>
    <w:uiPriority w:val="0"/>
  </w:style>
  <w:style w:type="character" w:customStyle="1" w:styleId="55">
    <w:name w:val="place1"/>
    <w:qFormat/>
    <w:uiPriority w:val="0"/>
  </w:style>
  <w:style w:type="character" w:customStyle="1" w:styleId="56">
    <w:name w:val="place3"/>
    <w:qFormat/>
    <w:uiPriority w:val="0"/>
  </w:style>
  <w:style w:type="character" w:customStyle="1" w:styleId="57">
    <w:name w:val="noline"/>
    <w:qFormat/>
    <w:uiPriority w:val="0"/>
  </w:style>
  <w:style w:type="character" w:customStyle="1" w:styleId="58">
    <w:name w:val="gwds_nopic1"/>
    <w:qFormat/>
    <w:uiPriority w:val="0"/>
  </w:style>
  <w:style w:type="character" w:customStyle="1" w:styleId="59">
    <w:name w:val="hover18"/>
    <w:qFormat/>
    <w:uiPriority w:val="0"/>
    <w:rPr>
      <w:color w:val="FFFFFF"/>
      <w:shd w:val="clear" w:color="auto" w:fill="237EC7"/>
    </w:rPr>
  </w:style>
  <w:style w:type="character" w:customStyle="1" w:styleId="60">
    <w:name w:val="hover19"/>
    <w:qFormat/>
    <w:uiPriority w:val="0"/>
    <w:rPr>
      <w:color w:val="FFFFFF"/>
      <w:bdr w:val="single" w:color="C9100E" w:sz="4" w:space="0"/>
      <w:shd w:val="clear" w:color="auto" w:fill="C9100E"/>
    </w:rPr>
  </w:style>
  <w:style w:type="character" w:customStyle="1" w:styleId="61">
    <w:name w:val="place"/>
    <w:qFormat/>
    <w:uiPriority w:val="0"/>
  </w:style>
  <w:style w:type="character" w:customStyle="1" w:styleId="62">
    <w:name w:val="font"/>
    <w:qFormat/>
    <w:uiPriority w:val="0"/>
  </w:style>
  <w:style w:type="character" w:customStyle="1" w:styleId="63">
    <w:name w:val="font11"/>
    <w:qFormat/>
    <w:uiPriority w:val="0"/>
    <w:rPr>
      <w:rFonts w:hint="eastAsia" w:ascii="仿宋" w:hAnsi="仿宋" w:eastAsia="仿宋" w:cs="仿宋"/>
      <w:color w:val="191919"/>
      <w:sz w:val="24"/>
      <w:szCs w:val="24"/>
      <w:u w:val="none"/>
    </w:rPr>
  </w:style>
  <w:style w:type="character" w:customStyle="1" w:styleId="64">
    <w:name w:val="正文文本 Char"/>
    <w:basedOn w:val="17"/>
    <w:link w:val="3"/>
    <w:qFormat/>
    <w:uiPriority w:val="0"/>
    <w:rPr>
      <w:rFonts w:ascii="Times New Roman" w:hAnsi="Times New Roman" w:eastAsia="宋体" w:cs="Times New Roman"/>
      <w:kern w:val="2"/>
      <w:sz w:val="28"/>
      <w:szCs w:val="28"/>
    </w:rPr>
  </w:style>
  <w:style w:type="character" w:customStyle="1" w:styleId="65">
    <w:name w:val="标题 3 Char"/>
    <w:basedOn w:val="17"/>
    <w:link w:val="2"/>
    <w:qFormat/>
    <w:uiPriority w:val="0"/>
    <w:rPr>
      <w:rFonts w:ascii="Times New Roman" w:hAnsi="Times New Roman" w:eastAsia="仿宋_GB2312" w:cs="Times New Roman"/>
      <w:kern w:val="2"/>
      <w:sz w:val="32"/>
      <w:szCs w:val="24"/>
    </w:rPr>
  </w:style>
  <w:style w:type="paragraph" w:customStyle="1" w:styleId="66">
    <w:name w:val="Char"/>
    <w:basedOn w:val="1"/>
    <w:uiPriority w:val="0"/>
    <w:rPr>
      <w:rFonts w:ascii="仿宋_GB2312" w:hAnsi="&lt;p&gt;" w:eastAsia="仿宋_GB2312" w:cs="仿宋_GB2312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BE04E2-0062-452B-AE79-25328317669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26</Pages>
  <Words>13738</Words>
  <Characters>13827</Characters>
  <Lines>98</Lines>
  <Paragraphs>27</Paragraphs>
  <TotalTime>476</TotalTime>
  <ScaleCrop>false</ScaleCrop>
  <LinksUpToDate>false</LinksUpToDate>
  <CharactersWithSpaces>13827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2020-12-14T02:38:00Z</dcterms:created>
  <dc:creator>pc1</dc:creator>
  <cp:lastModifiedBy>WPS_1604918664</cp:lastModifiedBy>
  <cp:lastPrinted>2022-04-15T09:25:00Z</cp:lastPrinted>
  <dcterms:modified xsi:type="dcterms:W3CDTF">2023-07-05T01:49:05Z</dcterms:modified>
  <cp:revision>271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82A850595668470AA05EE8EC8857F59B_13</vt:lpwstr>
  </property>
</Properties>
</file>