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exact"/>
        <w:jc w:val="center"/>
        <w:rPr>
          <w:rFonts w:ascii="仿宋_GB2312" w:eastAsia="仿宋_GB2312"/>
          <w:sz w:val="32"/>
          <w:szCs w:val="32"/>
        </w:rPr>
      </w:pPr>
      <w:r>
        <w:rPr>
          <w:rFonts w:hint="eastAsia" w:ascii="仿宋_GB2312" w:eastAsia="仿宋_GB2312" w:cs="仿宋_GB2312"/>
          <w:sz w:val="32"/>
          <w:szCs w:val="32"/>
        </w:rPr>
        <w:t>历下政办字〔</w:t>
      </w:r>
      <w:r>
        <w:rPr>
          <w:rFonts w:ascii="仿宋_GB2312" w:eastAsia="仿宋_GB2312" w:cs="仿宋_GB2312"/>
          <w:sz w:val="32"/>
          <w:szCs w:val="32"/>
        </w:rPr>
        <w:t>20</w:t>
      </w:r>
      <w:r>
        <w:rPr>
          <w:rFonts w:hint="eastAsia" w:ascii="仿宋_GB2312" w:eastAsia="仿宋_GB2312" w:cs="仿宋_GB2312"/>
          <w:sz w:val="32"/>
          <w:szCs w:val="32"/>
        </w:rPr>
        <w:t>23〕3号</w:t>
      </w:r>
    </w:p>
    <w:p>
      <w:pPr>
        <w:spacing w:line="560" w:lineRule="exact"/>
        <w:ind w:firstLine="420" w:firstLineChars="200"/>
        <w:rPr>
          <w:rFonts w:ascii="仿宋_GB2312" w:eastAsia="仿宋_GB2312"/>
        </w:rPr>
      </w:pPr>
    </w:p>
    <w:p>
      <w:pPr>
        <w:widowControl/>
        <w:shd w:val="clear" w:color="auto" w:fill="FFFFFF"/>
        <w:spacing w:line="560" w:lineRule="exact"/>
        <w:jc w:val="center"/>
        <w:rPr>
          <w:rFonts w:ascii="方正小标宋简体" w:hAnsi="仿宋_GB2312" w:eastAsia="方正小标宋简体" w:cs="仿宋_GB2312"/>
          <w:sz w:val="44"/>
          <w:szCs w:val="44"/>
        </w:rPr>
      </w:pPr>
      <w:bookmarkStart w:id="0" w:name="_GoBack"/>
      <w:r>
        <w:rPr>
          <w:rFonts w:hint="eastAsia" w:ascii="方正小标宋简体" w:hAnsi="仿宋_GB2312" w:eastAsia="方正小标宋简体" w:cs="仿宋_GB2312"/>
          <w:sz w:val="44"/>
          <w:szCs w:val="44"/>
        </w:rPr>
        <w:t>济南市历下区人民政府办公室</w:t>
      </w:r>
    </w:p>
    <w:p>
      <w:pPr>
        <w:widowControl/>
        <w:shd w:val="clear" w:color="auto" w:fill="FFFFFF"/>
        <w:spacing w:line="56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关于印发济南市历下区2023年度城市管理</w:t>
      </w:r>
    </w:p>
    <w:p>
      <w:pPr>
        <w:widowControl/>
        <w:shd w:val="clear" w:color="auto" w:fill="FFFFFF"/>
        <w:spacing w:line="56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综合考评方案的通知</w:t>
      </w:r>
    </w:p>
    <w:bookmarkEnd w:id="0"/>
    <w:p>
      <w:pPr>
        <w:spacing w:line="560" w:lineRule="exact"/>
        <w:ind w:firstLine="640" w:firstLineChars="200"/>
        <w:rPr>
          <w:sz w:val="32"/>
          <w:szCs w:val="36"/>
        </w:rPr>
      </w:pPr>
    </w:p>
    <w:p>
      <w:pPr>
        <w:widowControl/>
        <w:shd w:val="clear" w:color="auto"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各街道办事处，区政府有关部门（单位）：</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《济南市历下区2023年度城市管理综合考评方案》已经区政府同意，现印发给你们，请认真学习研究，抓好贯彻落实。</w:t>
      </w:r>
    </w:p>
    <w:p>
      <w:pPr>
        <w:widowControl/>
        <w:shd w:val="clear" w:color="auto" w:fill="FFFFFF"/>
        <w:spacing w:line="560" w:lineRule="exact"/>
        <w:rPr>
          <w:rFonts w:ascii="仿宋_GB2312" w:hAnsi="微软雅黑" w:eastAsia="仿宋_GB2312" w:cs="宋体"/>
          <w:kern w:val="0"/>
          <w:sz w:val="32"/>
          <w:szCs w:val="32"/>
        </w:rPr>
      </w:pPr>
    </w:p>
    <w:p>
      <w:pPr>
        <w:widowControl/>
        <w:shd w:val="clear" w:color="auto" w:fill="FFFFFF"/>
        <w:spacing w:line="560" w:lineRule="exact"/>
        <w:rPr>
          <w:rFonts w:ascii="仿宋_GB2312" w:hAnsi="微软雅黑" w:eastAsia="仿宋_GB2312" w:cs="宋体"/>
          <w:kern w:val="0"/>
          <w:sz w:val="32"/>
          <w:szCs w:val="32"/>
        </w:rPr>
      </w:pPr>
    </w:p>
    <w:p>
      <w:pPr>
        <w:widowControl/>
        <w:shd w:val="clear" w:color="auto" w:fill="FFFFFF"/>
        <w:spacing w:line="560" w:lineRule="exact"/>
        <w:ind w:firstLine="4160" w:firstLineChars="13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济南市历下区人民政府办公室</w:t>
      </w:r>
    </w:p>
    <w:p>
      <w:pPr>
        <w:widowControl/>
        <w:shd w:val="clear" w:color="auto" w:fill="FFFFFF"/>
        <w:spacing w:line="560" w:lineRule="exact"/>
        <w:ind w:firstLine="4960" w:firstLineChars="1550"/>
        <w:rPr>
          <w:rFonts w:ascii="仿宋_GB2312" w:hAnsi="微软雅黑" w:eastAsia="仿宋_GB2312" w:cs="宋体"/>
          <w:kern w:val="0"/>
          <w:sz w:val="32"/>
          <w:szCs w:val="32"/>
        </w:rPr>
      </w:pPr>
      <w:r>
        <w:rPr>
          <w:rFonts w:hint="eastAsia" w:ascii="仿宋_GB2312" w:hAnsi="微软雅黑" w:eastAsia="仿宋_GB2312" w:cs="宋体"/>
          <w:kern w:val="0"/>
          <w:sz w:val="32"/>
          <w:szCs w:val="32"/>
        </w:rPr>
        <w:t>2023年3月23日</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（此件公开发布）</w:t>
      </w:r>
    </w:p>
    <w:p>
      <w:pPr>
        <w:spacing w:line="560" w:lineRule="exact"/>
        <w:ind w:firstLine="640" w:firstLineChars="200"/>
        <w:rPr>
          <w:rFonts w:ascii="仿宋_GB2312" w:hAnsi="仿宋_GB2312" w:eastAsia="仿宋_GB2312" w:cs="仿宋_GB2312"/>
          <w:sz w:val="32"/>
          <w:szCs w:val="32"/>
        </w:rPr>
      </w:pPr>
    </w:p>
    <w:p>
      <w:pPr>
        <w:pStyle w:val="14"/>
        <w:shd w:val="clear" w:color="auto" w:fill="FFFFFF"/>
        <w:adjustRightInd w:val="0"/>
        <w:snapToGrid w:val="0"/>
        <w:spacing w:before="0" w:beforeAutospacing="0" w:after="0" w:afterAutospacing="0" w:line="560" w:lineRule="exact"/>
        <w:ind w:firstLine="640" w:firstLineChars="200"/>
        <w:jc w:val="both"/>
        <w:rPr>
          <w:rStyle w:val="20"/>
          <w:rFonts w:ascii="仿宋_GB2312" w:hAnsi="仿宋" w:eastAsia="仿宋_GB2312"/>
          <w:b w:val="0"/>
          <w:sz w:val="32"/>
          <w:szCs w:val="32"/>
        </w:rPr>
      </w:pPr>
    </w:p>
    <w:p>
      <w:pPr>
        <w:pStyle w:val="14"/>
        <w:shd w:val="clear" w:color="auto" w:fill="FFFFFF"/>
        <w:adjustRightInd w:val="0"/>
        <w:snapToGrid w:val="0"/>
        <w:spacing w:before="0" w:beforeAutospacing="0" w:after="0" w:afterAutospacing="0" w:line="560" w:lineRule="exact"/>
        <w:ind w:firstLine="640" w:firstLineChars="200"/>
        <w:jc w:val="both"/>
        <w:rPr>
          <w:rFonts w:ascii="仿宋_GB2312" w:hAnsi="仿宋" w:eastAsia="仿宋_GB2312"/>
          <w:sz w:val="32"/>
          <w:szCs w:val="32"/>
        </w:rPr>
      </w:pPr>
    </w:p>
    <w:p>
      <w:pPr>
        <w:spacing w:line="560" w:lineRule="exact"/>
        <w:jc w:val="center"/>
        <w:rPr>
          <w:rFonts w:hint="eastAsia" w:ascii="方正小标宋简体" w:hAnsi="方正小标宋简体" w:eastAsia="方正小标宋简体" w:cs="方正小标宋简体"/>
          <w:kern w:val="0"/>
          <w:sz w:val="44"/>
          <w:szCs w:val="44"/>
        </w:rPr>
      </w:pPr>
    </w:p>
    <w:p>
      <w:pPr>
        <w:spacing w:line="560" w:lineRule="exact"/>
        <w:jc w:val="center"/>
        <w:rPr>
          <w:rFonts w:hint="eastAsia" w:ascii="方正小标宋简体" w:hAnsi="方正小标宋简体" w:eastAsia="方正小标宋简体" w:cs="方正小标宋简体"/>
          <w:kern w:val="0"/>
          <w:sz w:val="44"/>
          <w:szCs w:val="44"/>
        </w:rPr>
      </w:pPr>
    </w:p>
    <w:p>
      <w:pPr>
        <w:spacing w:line="560" w:lineRule="exact"/>
        <w:jc w:val="center"/>
        <w:rPr>
          <w:rFonts w:hint="eastAsia" w:ascii="方正小标宋简体" w:hAnsi="方正小标宋简体" w:eastAsia="方正小标宋简体" w:cs="方正小标宋简体"/>
          <w:kern w:val="0"/>
          <w:sz w:val="44"/>
          <w:szCs w:val="44"/>
        </w:rPr>
      </w:pPr>
    </w:p>
    <w:p>
      <w:pPr>
        <w:spacing w:line="560" w:lineRule="exact"/>
        <w:jc w:val="center"/>
        <w:rPr>
          <w:rFonts w:hint="eastAsia" w:ascii="方正小标宋简体" w:hAnsi="方正小标宋简体" w:eastAsia="方正小标宋简体" w:cs="方正小标宋简体"/>
          <w:kern w:val="0"/>
          <w:sz w:val="44"/>
          <w:szCs w:val="44"/>
        </w:rPr>
      </w:pPr>
    </w:p>
    <w:p>
      <w:pPr>
        <w:spacing w:line="560" w:lineRule="exact"/>
        <w:jc w:val="center"/>
        <w:rPr>
          <w:rFonts w:hint="eastAsia" w:ascii="方正小标宋简体" w:hAnsi="方正小标宋简体" w:eastAsia="方正小标宋简体" w:cs="方正小标宋简体"/>
          <w:kern w:val="0"/>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济南市历下区</w:t>
      </w:r>
      <w:r>
        <w:rPr>
          <w:rFonts w:hint="eastAsia" w:ascii="方正小标宋简体" w:hAnsi="方正小标宋简体" w:eastAsia="方正小标宋简体" w:cs="方正小标宋简体"/>
          <w:sz w:val="44"/>
          <w:szCs w:val="44"/>
        </w:rPr>
        <w:t>2023年度城市管理</w:t>
      </w: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rPr>
        <w:t>综合考评方案</w:t>
      </w:r>
    </w:p>
    <w:p>
      <w:pPr>
        <w:pStyle w:val="4"/>
        <w:spacing w:line="560" w:lineRule="exact"/>
        <w:ind w:left="0"/>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为全面提升城市品质，助力全国文明典范城市创建，不断提高广大人民群众的获得感、幸福感、安全感和满意度，结合我区实际，制定本方案。</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总体要求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引，深入学习贯彻党的二十大精神，坚持以人民为中心的发展思想，聚焦打造“日清日新、洁净有序”的城市环境，坚持问题导向、目标导向和效果导向，进一步提升城市精细化管理水平，充分发挥考评引导、激励、约束作用，实现以考促改、以考促管、以考促靓。贯彻落实黄河流域生态保护和高质量发展国家战略,构建“一轴、三区、多园”城市发展新格局，全面推进国际化一流中心城区建设。</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二、考评对象</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全区13个街道办事处、参与市城市管理综合考评的职能部门（以下简称职能部门）。</w:t>
      </w:r>
    </w:p>
    <w:p>
      <w:pPr>
        <w:spacing w:line="560" w:lineRule="exact"/>
        <w:ind w:left="-13"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（一）街道办事处分为一组。</w:t>
      </w:r>
      <w:r>
        <w:rPr>
          <w:rFonts w:hint="eastAsia" w:ascii="仿宋_GB2312" w:eastAsia="仿宋_GB2312"/>
          <w:sz w:val="32"/>
          <w:szCs w:val="32"/>
        </w:rPr>
        <w:t>泉城路街道办事处、大明湖街道办事处、东关街道办事处、建筑新村街道办事处、千佛山街道办事处、趵突泉街道办事处、解放路街道办事处、文化东路街道办事处、燕山街道办事处、甸柳新村街道办事处、姚家街道办事处、智远街道办事处、龙洞街道办事处。</w:t>
      </w:r>
    </w:p>
    <w:p>
      <w:pPr>
        <w:spacing w:line="560" w:lineRule="exact"/>
        <w:ind w:left="-13"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（二）职能部门分为一组。</w:t>
      </w:r>
      <w:r>
        <w:rPr>
          <w:rFonts w:hint="eastAsia" w:ascii="仿宋_GB2312" w:hAnsi="仿宋_GB2312" w:eastAsia="仿宋_GB2312" w:cs="仿宋_GB2312"/>
          <w:sz w:val="32"/>
          <w:szCs w:val="32"/>
        </w:rPr>
        <w:t>区住房和城市建设局、区城市管理局（综合行政执法局）、生态环境局历下分局、区水务局、区教育和体育局、区市场监管局、区市政工程服务中心、区园林绿化服务中心、区交警大队（静态管理办公室）。</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三、考评内容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垃圾分类、智慧城管、建筑垃圾处置管理、交通设施与秩序管理、居民小区物业管理、“门前五包”责任制工作、道路保洁、广告与城市照明管理、占道经营治理、河道水域治理、绿化养护管理、工地围挡管理、临街建筑外立面管理、公共卫生间管理、环卫公用设施建设与管理、执法行为规范、违法建设整治、公共全民健身设施管理、城市管理进社区。</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考评内容将根据区委、区政府部署的阶段性重点工作适时予以调整。</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四、考评方式及分值</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城市管理综合考评实行1000分制。</w:t>
      </w:r>
    </w:p>
    <w:p>
      <w:pPr>
        <w:snapToGrid w:val="0"/>
        <w:spacing w:line="56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（一）对街道办事处的考评。</w:t>
      </w:r>
    </w:p>
    <w:p>
      <w:pPr>
        <w:snapToGrid w:val="0"/>
        <w:spacing w:line="560" w:lineRule="exact"/>
        <w:ind w:firstLine="640" w:firstLineChars="200"/>
        <w:rPr>
          <w:rFonts w:ascii="仿宋_GB2312" w:eastAsia="仿宋_GB2312"/>
          <w:sz w:val="32"/>
          <w:szCs w:val="32"/>
        </w:rPr>
      </w:pPr>
      <w:r>
        <w:rPr>
          <w:rFonts w:hint="eastAsia" w:ascii="仿宋_GB2312" w:hAnsi="楷体_GB2312" w:eastAsia="仿宋_GB2312" w:cs="楷体_GB2312"/>
          <w:sz w:val="32"/>
          <w:szCs w:val="32"/>
        </w:rPr>
        <w:t>1. 区政府部门考评（600分）。</w:t>
      </w:r>
      <w:r>
        <w:rPr>
          <w:rFonts w:hint="eastAsia" w:ascii="仿宋_GB2312" w:eastAsia="仿宋_GB2312"/>
          <w:sz w:val="32"/>
          <w:szCs w:val="32"/>
        </w:rPr>
        <w:t>由区政府职能部门依照各专项考评细则对相关考评内容进行季度考评，将考评结果于每个季度最后一个月的</w:t>
      </w:r>
      <w:r>
        <w:rPr>
          <w:rFonts w:ascii="仿宋_GB2312" w:eastAsia="仿宋_GB2312"/>
          <w:sz w:val="32"/>
          <w:szCs w:val="32"/>
        </w:rPr>
        <w:t>28</w:t>
      </w:r>
      <w:r>
        <w:rPr>
          <w:rFonts w:hint="eastAsia" w:ascii="仿宋_GB2312" w:eastAsia="仿宋_GB2312"/>
          <w:sz w:val="32"/>
          <w:szCs w:val="32"/>
        </w:rPr>
        <w:t>日前报</w:t>
      </w:r>
      <w:r>
        <w:rPr>
          <w:rFonts w:hint="eastAsia" w:ascii="仿宋_GB2312" w:hAnsi="仿宋_GB2312" w:eastAsia="仿宋_GB2312" w:cs="仿宋_GB2312"/>
          <w:sz w:val="32"/>
          <w:szCs w:val="32"/>
        </w:rPr>
        <w:t>历下区城市管理委员会考评办公室（以下简称考评办）</w:t>
      </w:r>
      <w:r>
        <w:rPr>
          <w:rFonts w:hint="eastAsia" w:ascii="仿宋_GB2312" w:eastAsia="仿宋_GB2312"/>
          <w:sz w:val="32"/>
          <w:szCs w:val="32"/>
        </w:rPr>
        <w:t>。考评结果需由职能部门主要负责人签字加盖公章，并附扣分明细。</w:t>
      </w:r>
    </w:p>
    <w:p>
      <w:pPr>
        <w:snapToGrid w:val="0"/>
        <w:spacing w:line="560" w:lineRule="exact"/>
        <w:ind w:firstLine="640" w:firstLineChars="200"/>
        <w:rPr>
          <w:rFonts w:ascii="仿宋_GB2312" w:eastAsia="仿宋_GB2312"/>
          <w:sz w:val="32"/>
          <w:szCs w:val="32"/>
        </w:rPr>
      </w:pPr>
      <w:r>
        <w:rPr>
          <w:rFonts w:hint="eastAsia" w:ascii="仿宋_GB2312" w:hAnsi="楷体_GB2312" w:eastAsia="仿宋_GB2312" w:cs="楷体_GB2312"/>
          <w:sz w:val="32"/>
          <w:szCs w:val="32"/>
        </w:rPr>
        <w:t>2. 社会评价（200分）。</w:t>
      </w:r>
      <w:r>
        <w:rPr>
          <w:rFonts w:hint="eastAsia" w:ascii="仿宋_GB2312" w:eastAsia="仿宋_GB2312"/>
          <w:sz w:val="32"/>
          <w:szCs w:val="32"/>
        </w:rPr>
        <w:t>通过市民服务热线办理、社会监督等对相关考评内容进行季度评价。评价结果由责任单位于每个季度最后一个月28日前报考评办。</w:t>
      </w:r>
    </w:p>
    <w:p>
      <w:pPr>
        <w:snapToGrid w:val="0"/>
        <w:spacing w:line="560" w:lineRule="exact"/>
        <w:ind w:firstLine="640" w:firstLineChars="200"/>
        <w:rPr>
          <w:rFonts w:ascii="仿宋_GB2312" w:eastAsia="仿宋_GB2312"/>
          <w:sz w:val="32"/>
          <w:szCs w:val="32"/>
        </w:rPr>
      </w:pPr>
      <w:r>
        <w:rPr>
          <w:rFonts w:hint="eastAsia" w:ascii="仿宋_GB2312" w:hAnsi="楷体_GB2312" w:eastAsia="仿宋_GB2312" w:cs="楷体_GB2312"/>
          <w:sz w:val="32"/>
          <w:szCs w:val="32"/>
        </w:rPr>
        <w:t>3. 第三方测评（200分）。</w:t>
      </w:r>
      <w:r>
        <w:rPr>
          <w:rFonts w:hint="eastAsia" w:ascii="仿宋_GB2312" w:hAnsi="仿宋_GB2312" w:eastAsia="仿宋_GB2312" w:cs="仿宋_GB2312"/>
          <w:sz w:val="32"/>
          <w:szCs w:val="32"/>
        </w:rPr>
        <w:t>对</w:t>
      </w:r>
      <w:r>
        <w:rPr>
          <w:rFonts w:hint="eastAsia" w:ascii="仿宋_GB2312" w:eastAsia="仿宋_GB2312"/>
          <w:sz w:val="32"/>
          <w:szCs w:val="32"/>
        </w:rPr>
        <w:t>各单位处置第三方测评工单情况进行季度评价。</w:t>
      </w:r>
    </w:p>
    <w:p>
      <w:pPr>
        <w:snapToGrid w:val="0"/>
        <w:spacing w:line="560" w:lineRule="exact"/>
        <w:ind w:firstLine="640" w:firstLineChars="200"/>
        <w:rPr>
          <w:rFonts w:ascii="仿宋_GB2312" w:eastAsia="仿宋_GB2312"/>
          <w:sz w:val="32"/>
          <w:szCs w:val="32"/>
        </w:rPr>
      </w:pPr>
      <w:r>
        <w:rPr>
          <w:rFonts w:hint="eastAsia" w:ascii="仿宋_GB2312" w:hAnsi="楷体_GB2312" w:eastAsia="仿宋_GB2312" w:cs="楷体_GB2312"/>
          <w:sz w:val="32"/>
          <w:szCs w:val="32"/>
        </w:rPr>
        <w:t>4. 动态评价。</w:t>
      </w:r>
      <w:r>
        <w:rPr>
          <w:rFonts w:hint="eastAsia" w:ascii="仿宋_GB2312" w:eastAsia="仿宋_GB2312"/>
          <w:sz w:val="32"/>
          <w:szCs w:val="32"/>
        </w:rPr>
        <w:t>进步加分，自第二季度起，各街道办事处本季度千分制成绩比上一季度千分制成绩提高的分数×0.25，为动态评价加分分值；退步扣分，自第二季度起，各街道办事处本季度千分制成绩比上一季度千分制成绩减少的分数×0.25，为动态评价扣分分值。</w:t>
      </w:r>
    </w:p>
    <w:p>
      <w:pPr>
        <w:snapToGrid w:val="0"/>
        <w:spacing w:line="560" w:lineRule="exact"/>
        <w:ind w:firstLine="640" w:firstLineChars="200"/>
        <w:rPr>
          <w:rFonts w:ascii="仿宋_GB2312" w:eastAsia="仿宋_GB2312"/>
          <w:sz w:val="32"/>
          <w:szCs w:val="32"/>
        </w:rPr>
      </w:pPr>
      <w:r>
        <w:rPr>
          <w:rFonts w:hint="eastAsia" w:ascii="仿宋_GB2312" w:hAnsi="楷体_GB2312" w:eastAsia="仿宋_GB2312" w:cs="楷体_GB2312"/>
          <w:sz w:val="32"/>
          <w:szCs w:val="32"/>
        </w:rPr>
        <w:t>5. 加分项目。</w:t>
      </w:r>
      <w:r>
        <w:rPr>
          <w:rFonts w:hint="eastAsia" w:ascii="仿宋_GB2312" w:eastAsia="仿宋_GB2312"/>
          <w:sz w:val="32"/>
          <w:szCs w:val="32"/>
        </w:rPr>
        <w:t>在城市管理工作中获得国家相关部委表彰的，每项加5分；获得省委、省政府表彰的，每项加4分；获得省级业务主管部门表彰的，每项加3分；获得市委、市政府表彰的，每项加2分；获得市级业务主管部门表彰的，每项加1分；在全区“工作创新年”活动中作出突出贡献的，每项加1分。</w:t>
      </w:r>
    </w:p>
    <w:p>
      <w:pPr>
        <w:snapToGrid w:val="0"/>
        <w:spacing w:line="560" w:lineRule="exact"/>
        <w:ind w:firstLine="640" w:firstLineChars="200"/>
        <w:rPr>
          <w:rFonts w:ascii="仿宋_GB2312" w:eastAsia="仿宋_GB2312"/>
          <w:sz w:val="32"/>
          <w:szCs w:val="32"/>
        </w:rPr>
      </w:pPr>
      <w:r>
        <w:rPr>
          <w:rFonts w:hint="eastAsia" w:ascii="仿宋_GB2312" w:hAnsi="楷体_GB2312" w:eastAsia="仿宋_GB2312" w:cs="楷体_GB2312"/>
          <w:sz w:val="32"/>
          <w:szCs w:val="32"/>
        </w:rPr>
        <w:t>6. 计分方法。</w:t>
      </w:r>
      <w:r>
        <w:rPr>
          <w:rFonts w:hint="eastAsia" w:ascii="仿宋_GB2312" w:eastAsia="仿宋_GB2312"/>
          <w:sz w:val="32"/>
          <w:szCs w:val="32"/>
        </w:rPr>
        <w:t>各街道办事处考评成绩为区政府部门考评、社会评价、第三方测评、动态评价、加分项目相加之和。</w:t>
      </w:r>
    </w:p>
    <w:p>
      <w:pPr>
        <w:snapToGrid w:val="0"/>
        <w:spacing w:line="56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（二）对职能部门的考评。</w:t>
      </w:r>
    </w:p>
    <w:p>
      <w:pPr>
        <w:snapToGrid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1. 街道办事处对职能部门评价（100分）。</w:t>
      </w:r>
      <w:r>
        <w:rPr>
          <w:rFonts w:hint="eastAsia" w:ascii="仿宋_GB2312" w:eastAsia="仿宋_GB2312"/>
          <w:sz w:val="32"/>
          <w:szCs w:val="32"/>
        </w:rPr>
        <w:t>各街道办事处</w:t>
      </w:r>
      <w:r>
        <w:rPr>
          <w:rFonts w:hint="eastAsia" w:ascii="仿宋_GB2312" w:hAnsi="仿宋_GB2312" w:eastAsia="仿宋_GB2312" w:cs="仿宋_GB2312"/>
          <w:sz w:val="32"/>
          <w:szCs w:val="32"/>
        </w:rPr>
        <w:t>每季度</w:t>
      </w:r>
      <w:r>
        <w:rPr>
          <w:rFonts w:hint="eastAsia" w:ascii="仿宋_GB2312" w:eastAsia="仿宋_GB2312"/>
          <w:sz w:val="32"/>
          <w:szCs w:val="32"/>
        </w:rPr>
        <w:t>对职能部门的相关考评内容打分，并将考评结果于每个季度最后一个月28日前报</w:t>
      </w:r>
      <w:r>
        <w:rPr>
          <w:rFonts w:hint="eastAsia" w:ascii="仿宋_GB2312" w:hAnsi="仿宋_GB2312" w:eastAsia="仿宋_GB2312" w:cs="仿宋_GB2312"/>
          <w:sz w:val="32"/>
          <w:szCs w:val="32"/>
        </w:rPr>
        <w:t>考评办</w:t>
      </w:r>
      <w:r>
        <w:rPr>
          <w:rFonts w:hint="eastAsia" w:ascii="仿宋_GB2312" w:eastAsia="仿宋_GB2312"/>
          <w:sz w:val="32"/>
          <w:szCs w:val="32"/>
        </w:rPr>
        <w:t>。考评结果需由各街道办事处主要负责人签字并加盖公章。</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2. 职能部门在市城管考评中所获结果（400分）。依据</w:t>
      </w:r>
      <w:r>
        <w:rPr>
          <w:rFonts w:hint="eastAsia" w:ascii="仿宋_GB2312" w:hAnsi="仿宋_GB2312" w:eastAsia="仿宋_GB2312" w:cs="仿宋_GB2312"/>
          <w:sz w:val="32"/>
          <w:szCs w:val="32"/>
        </w:rPr>
        <w:t>济南市城市管理综合考评结果进行季度考评，根据评分标准进行赋分。</w:t>
      </w:r>
    </w:p>
    <w:p>
      <w:pPr>
        <w:snapToGrid w:val="0"/>
        <w:spacing w:line="560" w:lineRule="exact"/>
        <w:ind w:firstLine="640" w:firstLineChars="200"/>
        <w:rPr>
          <w:rFonts w:ascii="仿宋_GB2312" w:eastAsia="仿宋_GB2312"/>
          <w:sz w:val="32"/>
          <w:szCs w:val="32"/>
        </w:rPr>
      </w:pPr>
      <w:r>
        <w:rPr>
          <w:rFonts w:hint="eastAsia" w:ascii="仿宋_GB2312" w:hAnsi="楷体_GB2312" w:eastAsia="仿宋_GB2312" w:cs="楷体_GB2312"/>
          <w:sz w:val="32"/>
          <w:szCs w:val="32"/>
        </w:rPr>
        <w:t>3. 社会评价（100分）。</w:t>
      </w:r>
      <w:r>
        <w:rPr>
          <w:rFonts w:hint="eastAsia" w:ascii="仿宋_GB2312" w:eastAsia="仿宋_GB2312"/>
          <w:sz w:val="32"/>
          <w:szCs w:val="32"/>
        </w:rPr>
        <w:t>通过市民服务热线办理、社会监督等对相关考评内容进行季度评价。</w:t>
      </w:r>
    </w:p>
    <w:p>
      <w:pPr>
        <w:snapToGrid w:val="0"/>
        <w:spacing w:line="560" w:lineRule="exact"/>
        <w:ind w:firstLine="640" w:firstLineChars="200"/>
        <w:rPr>
          <w:rFonts w:ascii="仿宋_GB2312" w:eastAsia="仿宋_GB2312"/>
        </w:rPr>
      </w:pPr>
      <w:r>
        <w:rPr>
          <w:rFonts w:hint="eastAsia" w:ascii="仿宋_GB2312" w:hAnsi="楷体_GB2312" w:eastAsia="仿宋_GB2312" w:cs="楷体_GB2312"/>
          <w:sz w:val="32"/>
          <w:szCs w:val="32"/>
        </w:rPr>
        <w:t>4. 第三方测评（400分）。</w:t>
      </w:r>
      <w:r>
        <w:rPr>
          <w:rFonts w:hint="eastAsia" w:ascii="仿宋_GB2312" w:hAnsi="仿宋_GB2312" w:eastAsia="仿宋_GB2312" w:cs="仿宋_GB2312"/>
          <w:sz w:val="32"/>
          <w:szCs w:val="32"/>
        </w:rPr>
        <w:t>对各单位处置第三方测评工单情况进行</w:t>
      </w:r>
      <w:r>
        <w:rPr>
          <w:rFonts w:hint="eastAsia" w:ascii="仿宋_GB2312" w:eastAsia="仿宋_GB2312"/>
          <w:sz w:val="32"/>
          <w:szCs w:val="32"/>
        </w:rPr>
        <w:t>季度</w:t>
      </w:r>
      <w:r>
        <w:rPr>
          <w:rFonts w:hint="eastAsia" w:ascii="仿宋_GB2312" w:hAnsi="仿宋_GB2312" w:eastAsia="仿宋_GB2312" w:cs="仿宋_GB2312"/>
          <w:sz w:val="32"/>
          <w:szCs w:val="32"/>
        </w:rPr>
        <w:t>评价。</w:t>
      </w:r>
    </w:p>
    <w:p>
      <w:pPr>
        <w:snapToGrid w:val="0"/>
        <w:spacing w:line="560" w:lineRule="exact"/>
        <w:ind w:firstLine="640" w:firstLineChars="200"/>
        <w:rPr>
          <w:rFonts w:ascii="仿宋_GB2312" w:eastAsia="仿宋_GB2312"/>
          <w:sz w:val="32"/>
          <w:szCs w:val="32"/>
        </w:rPr>
      </w:pPr>
      <w:r>
        <w:rPr>
          <w:rFonts w:hint="eastAsia" w:ascii="仿宋_GB2312" w:hAnsi="楷体_GB2312" w:eastAsia="仿宋_GB2312" w:cs="楷体_GB2312"/>
          <w:sz w:val="32"/>
          <w:szCs w:val="32"/>
        </w:rPr>
        <w:t>5. 加分项目。</w:t>
      </w:r>
      <w:r>
        <w:rPr>
          <w:rFonts w:hint="eastAsia" w:ascii="仿宋_GB2312" w:eastAsia="仿宋_GB2312"/>
          <w:sz w:val="32"/>
          <w:szCs w:val="32"/>
        </w:rPr>
        <w:t>在城市管理工作中获得国家相关部委表彰的，每项加5分；获得省委、省政府表彰的，每项加4分；获得省级业务主管部门表彰的，每项加3分；获得市委、市政府表彰的，每项加2分；获得市级业务主管部门表彰的，每项加1分；在全区“工作创新年”活动中作出突出贡献的，每项加1分。</w:t>
      </w:r>
    </w:p>
    <w:p>
      <w:pPr>
        <w:snapToGrid w:val="0"/>
        <w:spacing w:line="560" w:lineRule="exact"/>
        <w:ind w:firstLine="640" w:firstLineChars="200"/>
        <w:rPr>
          <w:rFonts w:ascii="仿宋_GB2312" w:eastAsia="仿宋_GB2312"/>
          <w:sz w:val="32"/>
          <w:szCs w:val="32"/>
        </w:rPr>
      </w:pPr>
      <w:r>
        <w:rPr>
          <w:rFonts w:hint="eastAsia" w:ascii="仿宋_GB2312" w:hAnsi="楷体_GB2312" w:eastAsia="仿宋_GB2312" w:cs="楷体_GB2312"/>
          <w:sz w:val="32"/>
          <w:szCs w:val="32"/>
        </w:rPr>
        <w:t>6. 计分方法。</w:t>
      </w:r>
      <w:r>
        <w:rPr>
          <w:rFonts w:hint="eastAsia" w:ascii="仿宋_GB2312" w:eastAsia="仿宋_GB2312"/>
          <w:sz w:val="32"/>
          <w:szCs w:val="32"/>
        </w:rPr>
        <w:t>考评成绩为各街道办事处对职能部门的评价、职能部门在市城管考评中所获结果、社会评价、第三方测评、加分项目相加之和。</w:t>
      </w:r>
    </w:p>
    <w:p>
      <w:pPr>
        <w:snapToGrid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五、结果运用</w:t>
      </w:r>
    </w:p>
    <w:p>
      <w:pPr>
        <w:snapToGrid w:val="0"/>
        <w:spacing w:line="560" w:lineRule="exact"/>
        <w:ind w:firstLine="640" w:firstLineChars="200"/>
        <w:rPr>
          <w:rFonts w:ascii="楷体" w:hAnsi="楷体" w:eastAsia="楷体" w:cs="楷体"/>
          <w:b/>
          <w:bCs/>
          <w:sz w:val="32"/>
          <w:szCs w:val="32"/>
        </w:rPr>
      </w:pPr>
      <w:r>
        <w:rPr>
          <w:rFonts w:hint="eastAsia" w:ascii="楷体_GB2312" w:hAnsi="楷体" w:eastAsia="楷体_GB2312" w:cs="楷体"/>
          <w:bCs/>
          <w:sz w:val="32"/>
          <w:szCs w:val="32"/>
        </w:rPr>
        <w:t>（一）排名通报。</w:t>
      </w:r>
      <w:r>
        <w:rPr>
          <w:rFonts w:hint="eastAsia" w:ascii="仿宋_GB2312" w:eastAsia="仿宋_GB2312" w:cs="Times New Roman"/>
          <w:sz w:val="32"/>
          <w:szCs w:val="32"/>
        </w:rPr>
        <w:t>区城管委办公室每季度对街道办事处、职能部门进行考评并排名，编发情况通报分别报送区委、区政府及区城管委各成员单位。</w:t>
      </w:r>
    </w:p>
    <w:p>
      <w:pPr>
        <w:adjustRightInd w:val="0"/>
        <w:snapToGrid w:val="0"/>
        <w:spacing w:line="560" w:lineRule="exact"/>
        <w:ind w:firstLine="640" w:firstLineChars="200"/>
        <w:jc w:val="left"/>
        <w:rPr>
          <w:rFonts w:ascii="仿宋_GB2312" w:eastAsia="仿宋_GB2312"/>
          <w:b/>
          <w:bCs/>
          <w:sz w:val="32"/>
          <w:szCs w:val="32"/>
        </w:rPr>
      </w:pPr>
      <w:r>
        <w:rPr>
          <w:rFonts w:hint="eastAsia" w:ascii="楷体_GB2312" w:hAnsi="楷体" w:eastAsia="楷体_GB2312" w:cs="楷体"/>
          <w:bCs/>
          <w:sz w:val="32"/>
          <w:szCs w:val="32"/>
        </w:rPr>
        <w:t>（二）季度点评。</w:t>
      </w:r>
      <w:r>
        <w:rPr>
          <w:rFonts w:hint="eastAsia" w:ascii="仿宋_GB2312" w:eastAsia="仿宋_GB2312"/>
          <w:sz w:val="32"/>
          <w:szCs w:val="32"/>
        </w:rPr>
        <w:t>区政府每季度召开一次城市管理综合考评点评会议，通报考评结果并汇报相关情况；在市城管综合考评中，小项后五名的责任单位作表态发言。</w:t>
      </w:r>
    </w:p>
    <w:p>
      <w:pPr>
        <w:snapToGrid w:val="0"/>
        <w:spacing w:line="560" w:lineRule="exact"/>
        <w:ind w:firstLine="640" w:firstLineChars="200"/>
        <w:rPr>
          <w:rFonts w:ascii="楷体" w:hAnsi="楷体" w:eastAsia="楷体" w:cs="楷体"/>
          <w:b/>
          <w:bCs/>
          <w:sz w:val="32"/>
          <w:szCs w:val="32"/>
        </w:rPr>
      </w:pPr>
      <w:r>
        <w:rPr>
          <w:rFonts w:hint="eastAsia" w:ascii="楷体_GB2312" w:hAnsi="楷体" w:eastAsia="楷体_GB2312" w:cs="楷体"/>
          <w:bCs/>
          <w:sz w:val="32"/>
          <w:szCs w:val="32"/>
        </w:rPr>
        <w:t>（三）问题整改。</w:t>
      </w:r>
      <w:r>
        <w:rPr>
          <w:rFonts w:hint="eastAsia" w:ascii="仿宋_GB2312" w:eastAsia="仿宋_GB2312"/>
          <w:sz w:val="32"/>
          <w:szCs w:val="32"/>
        </w:rPr>
        <w:t>根据季度考评结果，认真梳理全区城市管理工作中群众关心的、媒体关注的、市民热线反映的热点难点问题，通过督查督办、分析研判，彻底解决城市管理工作中存在的重点、难点问题。</w:t>
      </w:r>
    </w:p>
    <w:p>
      <w:pPr>
        <w:snapToGrid w:val="0"/>
        <w:spacing w:line="560" w:lineRule="exact"/>
        <w:ind w:firstLine="640" w:firstLineChars="200"/>
        <w:rPr>
          <w:rFonts w:ascii="楷体" w:hAnsi="楷体" w:eastAsia="楷体" w:cs="楷体"/>
          <w:b/>
          <w:bCs/>
          <w:color w:val="000000" w:themeColor="text1"/>
          <w:sz w:val="32"/>
          <w:szCs w:val="32"/>
        </w:rPr>
      </w:pPr>
      <w:r>
        <w:rPr>
          <w:rFonts w:hint="eastAsia" w:ascii="楷体_GB2312" w:hAnsi="楷体" w:eastAsia="楷体_GB2312" w:cs="楷体"/>
          <w:bCs/>
          <w:color w:val="000000" w:themeColor="text1"/>
          <w:sz w:val="32"/>
          <w:szCs w:val="32"/>
        </w:rPr>
        <w:t>（四）约谈与问责。</w:t>
      </w:r>
      <w:r>
        <w:rPr>
          <w:rFonts w:hint="eastAsia" w:ascii="仿宋_GB2312" w:eastAsia="仿宋_GB2312" w:cs="Times New Roman"/>
          <w:color w:val="000000" w:themeColor="text1"/>
          <w:sz w:val="32"/>
          <w:szCs w:val="32"/>
        </w:rPr>
        <w:t>区城管委对责任单位推诿、不作为的数字化城管工单和第三方测评工单整理汇总，对情节严重或造成负面影响的情况及时上报区纪委。对区考评连续三个季度排名末位的单位，由区城管委将情况上报区纪委。</w:t>
      </w:r>
    </w:p>
    <w:p>
      <w:pPr>
        <w:snapToGrid w:val="0"/>
        <w:spacing w:line="560" w:lineRule="exact"/>
        <w:ind w:firstLine="640" w:firstLineChars="200"/>
        <w:rPr>
          <w:rFonts w:ascii="楷体" w:hAnsi="楷体" w:eastAsia="楷体" w:cs="楷体"/>
          <w:b/>
          <w:bCs/>
          <w:sz w:val="32"/>
          <w:szCs w:val="32"/>
        </w:rPr>
      </w:pPr>
      <w:r>
        <w:rPr>
          <w:rFonts w:hint="eastAsia" w:ascii="楷体_GB2312" w:hAnsi="楷体" w:eastAsia="楷体_GB2312" w:cs="楷体"/>
          <w:bCs/>
          <w:sz w:val="32"/>
          <w:szCs w:val="32"/>
        </w:rPr>
        <w:t>（五）经济奖惩。</w:t>
      </w:r>
      <w:r>
        <w:rPr>
          <w:rFonts w:hint="eastAsia" w:ascii="仿宋_GB2312" w:eastAsia="仿宋_GB2312" w:cs="Times New Roman"/>
          <w:sz w:val="32"/>
          <w:szCs w:val="32"/>
        </w:rPr>
        <w:t>根据考评排名情况，每季度实施经济奖惩。城市管理工作受到国家相关部委和省委、省政府或省级业务主管部门通报批评的，取消获奖资格，后位名次递补。连续三个季度排名末位的街道办事处取消第三个季度考评等级奖的发放。</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六、考评奖励</w:t>
      </w:r>
    </w:p>
    <w:p>
      <w:pPr>
        <w:snapToGrid w:val="0"/>
        <w:spacing w:line="560" w:lineRule="exact"/>
        <w:ind w:firstLine="640" w:firstLineChars="200"/>
        <w:rPr>
          <w:rFonts w:ascii="楷体" w:hAnsi="楷体" w:eastAsia="楷体" w:cs="楷体"/>
          <w:b/>
          <w:bCs/>
          <w:sz w:val="32"/>
          <w:szCs w:val="32"/>
        </w:rPr>
      </w:pPr>
      <w:r>
        <w:rPr>
          <w:rFonts w:hint="eastAsia" w:ascii="楷体_GB2312" w:hAnsi="楷体" w:eastAsia="楷体_GB2312" w:cs="楷体"/>
          <w:bCs/>
          <w:sz w:val="32"/>
          <w:szCs w:val="32"/>
        </w:rPr>
        <w:t>（一）预算列支。</w:t>
      </w:r>
      <w:r>
        <w:rPr>
          <w:rFonts w:hint="eastAsia" w:ascii="仿宋_GB2312" w:eastAsia="仿宋_GB2312" w:cs="Times New Roman"/>
          <w:color w:val="000000" w:themeColor="text1"/>
          <w:sz w:val="32"/>
          <w:szCs w:val="32"/>
        </w:rPr>
        <w:t>区政府设区城市管理综合考评资金，用于对</w:t>
      </w:r>
      <w:r>
        <w:rPr>
          <w:rFonts w:hint="eastAsia" w:ascii="仿宋_GB2312" w:eastAsia="仿宋_GB2312" w:cs="Times New Roman"/>
          <w:sz w:val="32"/>
          <w:szCs w:val="32"/>
        </w:rPr>
        <w:t>在城市管理综合考评中表现优异的街道办事处进行奖励。资金拨付以本考评结果为依据，经报区政府同意后，由区财政局按期拨付。</w:t>
      </w:r>
    </w:p>
    <w:p>
      <w:pPr>
        <w:snapToGrid w:val="0"/>
        <w:spacing w:line="56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（二）奖励标准。</w:t>
      </w:r>
    </w:p>
    <w:p>
      <w:pPr>
        <w:snapToGrid w:val="0"/>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1. 考评等级奖（65万）。</w:t>
      </w:r>
      <w:r>
        <w:rPr>
          <w:rFonts w:hint="eastAsia" w:ascii="仿宋_GB2312" w:eastAsia="仿宋_GB2312" w:cs="Times New Roman"/>
          <w:sz w:val="32"/>
          <w:szCs w:val="32"/>
        </w:rPr>
        <w:t>每季度对参与市区城市管理综合考评工作的街道办事处进行奖励。街道办事处奖励标准划分为三个等级。一等奖三名，分别奖励7万元；二等奖七名，分别奖励5万元；三等奖三名，分别奖励3万元。</w:t>
      </w:r>
    </w:p>
    <w:p>
      <w:pPr>
        <w:snapToGrid w:val="0"/>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2. 交通秩序维护奖（4万元）。</w:t>
      </w:r>
      <w:r>
        <w:rPr>
          <w:rFonts w:hint="eastAsia" w:ascii="仿宋_GB2312" w:eastAsia="仿宋_GB2312" w:cs="Times New Roman"/>
          <w:sz w:val="32"/>
          <w:szCs w:val="32"/>
        </w:rPr>
        <w:t>在全区交通秩序维护工作中表现优秀的街道办事处所属“城管工作站”，每个奖励2000元。该城管工作站名单由区交警大队按季度提供，总数不超过20个，并由区城管委办公室予以公示。</w:t>
      </w:r>
    </w:p>
    <w:p>
      <w:pPr>
        <w:snapToGrid w:val="0"/>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3. 专项贡献奖（6万元）。</w:t>
      </w:r>
      <w:r>
        <w:rPr>
          <w:rFonts w:hint="eastAsia" w:ascii="仿宋_GB2312" w:eastAsia="仿宋_GB2312" w:cs="Times New Roman"/>
          <w:sz w:val="32"/>
          <w:szCs w:val="32"/>
        </w:rPr>
        <w:t>在中央及省市城市管理类重点任务工作中表现优异，受到上级表彰或作出突出贡献的街道办事处；在城市管理工作中总结的先进经验和取得的成绩被中央级主流媒体重点报道并在全市以上范围进行推广学习的街道办事处；在全区“工作创新年”活动中作出专项贡献的街道办事处。</w:t>
      </w:r>
    </w:p>
    <w:p>
      <w:pPr>
        <w:snapToGrid w:val="0"/>
        <w:spacing w:line="56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（三）奖励用途。</w:t>
      </w:r>
    </w:p>
    <w:p>
      <w:pPr>
        <w:snapToGrid w:val="0"/>
        <w:spacing w:line="560" w:lineRule="exact"/>
        <w:ind w:firstLine="640" w:firstLineChars="200"/>
        <w:rPr>
          <w:rFonts w:ascii="仿宋_GB2312" w:eastAsia="仿宋_GB2312"/>
          <w:sz w:val="32"/>
          <w:szCs w:val="32"/>
        </w:rPr>
      </w:pPr>
      <w:r>
        <w:rPr>
          <w:rFonts w:hint="eastAsia" w:ascii="仿宋_GB2312" w:eastAsia="仿宋_GB2312" w:cs="Times New Roman"/>
          <w:sz w:val="32"/>
          <w:szCs w:val="32"/>
        </w:rPr>
        <w:t>城管考评奖励可以作为以下用途：</w:t>
      </w:r>
    </w:p>
    <w:p>
      <w:pPr>
        <w:snapToGrid w:val="0"/>
        <w:spacing w:line="560" w:lineRule="exact"/>
        <w:ind w:firstLine="640" w:firstLineChars="200"/>
        <w:rPr>
          <w:rFonts w:ascii="仿宋_GB2312" w:eastAsia="仿宋_GB2312"/>
          <w:sz w:val="32"/>
          <w:szCs w:val="32"/>
        </w:rPr>
      </w:pPr>
      <w:r>
        <w:rPr>
          <w:rFonts w:hint="eastAsia" w:ascii="仿宋_GB2312" w:eastAsia="仿宋_GB2312" w:cs="Times New Roman"/>
          <w:sz w:val="32"/>
          <w:szCs w:val="32"/>
        </w:rPr>
        <w:t>1. 城管工作人员外出培训学习；</w:t>
      </w:r>
    </w:p>
    <w:p>
      <w:pPr>
        <w:snapToGrid w:val="0"/>
        <w:spacing w:line="560" w:lineRule="exact"/>
        <w:ind w:firstLine="640" w:firstLineChars="200"/>
        <w:rPr>
          <w:rFonts w:ascii="仿宋_GB2312" w:eastAsia="仿宋_GB2312"/>
          <w:sz w:val="32"/>
          <w:szCs w:val="32"/>
        </w:rPr>
      </w:pPr>
      <w:r>
        <w:rPr>
          <w:rFonts w:hint="eastAsia" w:ascii="仿宋_GB2312" w:eastAsia="仿宋_GB2312" w:cs="Times New Roman"/>
          <w:sz w:val="32"/>
          <w:szCs w:val="32"/>
        </w:rPr>
        <w:t>2. 社区“城管工作站”建设；</w:t>
      </w:r>
    </w:p>
    <w:p>
      <w:pPr>
        <w:snapToGrid w:val="0"/>
        <w:spacing w:line="560" w:lineRule="exact"/>
        <w:ind w:firstLine="640" w:firstLineChars="200"/>
        <w:rPr>
          <w:rFonts w:ascii="仿宋_GB2312" w:eastAsia="仿宋_GB2312"/>
          <w:sz w:val="32"/>
          <w:szCs w:val="32"/>
        </w:rPr>
      </w:pPr>
      <w:r>
        <w:rPr>
          <w:rFonts w:hint="eastAsia" w:ascii="仿宋_GB2312" w:eastAsia="仿宋_GB2312" w:cs="Times New Roman"/>
          <w:sz w:val="32"/>
          <w:szCs w:val="32"/>
        </w:rPr>
        <w:t>3. 城管工作所需物资设备的配备。</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七、保障措施</w:t>
      </w:r>
    </w:p>
    <w:p>
      <w:pPr>
        <w:snapToGrid w:val="0"/>
        <w:spacing w:line="56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（一）高度重视、分工明确。</w:t>
      </w:r>
      <w:r>
        <w:rPr>
          <w:rFonts w:hint="eastAsia" w:ascii="仿宋_GB2312" w:eastAsia="仿宋_GB2312" w:cs="Times New Roman"/>
          <w:sz w:val="32"/>
          <w:szCs w:val="32"/>
        </w:rPr>
        <w:t>区城市管理综合考评工作在区城管委的统一领导下，由区城管委办公室牵头，相关责任单位具体实施。各街道办事处、各部门要高度重视，严格按照工作职责和任务分工，统筹做好城市管理综合考评工作。</w:t>
      </w:r>
    </w:p>
    <w:p>
      <w:pPr>
        <w:snapToGrid w:val="0"/>
        <w:spacing w:line="56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（二）程序规范、公平公正。</w:t>
      </w:r>
      <w:r>
        <w:rPr>
          <w:rFonts w:hint="eastAsia" w:ascii="仿宋_GB2312" w:hAnsi="仿宋_GB2312" w:eastAsia="仿宋_GB2312" w:cs="仿宋_GB2312"/>
          <w:sz w:val="32"/>
          <w:szCs w:val="32"/>
        </w:rPr>
        <w:t>相关责任部门按照考评工作要求，牵头制定考评细则和评分标准。考评的依据、要求、程序及标准要公开透明，扣分事项要有据可依，考评成绩和考评报告由单位主要负责人核实并签字盖章，确保考评工作的公平公正。</w:t>
      </w:r>
    </w:p>
    <w:p>
      <w:pPr>
        <w:snapToGrid w:val="0"/>
        <w:spacing w:line="56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（三）履行职责、落实到位。</w:t>
      </w:r>
      <w:r>
        <w:rPr>
          <w:rFonts w:hint="eastAsia" w:ascii="仿宋_GB2312" w:hAnsi="仿宋_GB2312" w:eastAsia="仿宋_GB2312" w:cs="仿宋_GB2312"/>
          <w:sz w:val="32"/>
          <w:szCs w:val="32"/>
        </w:rPr>
        <w:t>各街道办事处、各部门要认真履行考评职责，严肃考评纪律，不得弄虚作假，不搞“面子”分数；对照考评标准，发现城市管理工作中的薄弱环节，积极整改，抓好落实。</w:t>
      </w:r>
    </w:p>
    <w:p>
      <w:pPr>
        <w:snapToGrid w:val="0"/>
        <w:spacing w:line="560" w:lineRule="exact"/>
        <w:ind w:firstLine="640" w:firstLineChars="200"/>
        <w:jc w:val="left"/>
        <w:rPr>
          <w:rFonts w:ascii="仿宋_GB2312" w:hAnsi="仿宋_GB2312" w:eastAsia="仿宋_GB2312" w:cs="仿宋_GB2312"/>
          <w:sz w:val="32"/>
          <w:szCs w:val="32"/>
        </w:rPr>
      </w:pP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 街道办事处城市管理综合考评事项责任分工表</w:t>
      </w:r>
    </w:p>
    <w:p>
      <w:pPr>
        <w:spacing w:line="560" w:lineRule="exact"/>
        <w:ind w:firstLine="1635" w:firstLineChars="511"/>
        <w:rPr>
          <w:rFonts w:ascii="仿宋_GB2312" w:hAnsi="仿宋_GB2312" w:eastAsia="仿宋_GB2312" w:cs="仿宋_GB2312"/>
          <w:sz w:val="32"/>
          <w:szCs w:val="32"/>
        </w:rPr>
      </w:pPr>
      <w:r>
        <w:rPr>
          <w:rFonts w:hint="eastAsia" w:ascii="仿宋_GB2312" w:hAnsi="仿宋_GB2312" w:eastAsia="仿宋_GB2312" w:cs="仿宋_GB2312"/>
          <w:sz w:val="32"/>
          <w:szCs w:val="32"/>
        </w:rPr>
        <w:t>2. 职能部门城市管理综合考评事项责任分工表</w:t>
      </w:r>
    </w:p>
    <w:p>
      <w:pPr>
        <w:spacing w:line="480" w:lineRule="exact"/>
        <w:ind w:firstLine="640" w:firstLineChars="200"/>
        <w:rPr>
          <w:rFonts w:ascii="仿宋_GB2312" w:eastAsia="仿宋_GB2312"/>
          <w:sz w:val="32"/>
          <w:szCs w:val="32"/>
        </w:rPr>
      </w:pPr>
    </w:p>
    <w:p>
      <w:pPr>
        <w:spacing w:line="480" w:lineRule="exact"/>
        <w:ind w:firstLine="640" w:firstLineChars="200"/>
        <w:rPr>
          <w:rFonts w:ascii="仿宋_GB2312" w:eastAsia="仿宋_GB2312"/>
          <w:sz w:val="32"/>
          <w:szCs w:val="32"/>
        </w:rPr>
      </w:pPr>
    </w:p>
    <w:p>
      <w:pPr>
        <w:spacing w:line="480" w:lineRule="exact"/>
        <w:ind w:firstLine="640" w:firstLineChars="200"/>
        <w:rPr>
          <w:rFonts w:ascii="仿宋_GB2312" w:eastAsia="仿宋_GB2312"/>
          <w:sz w:val="32"/>
          <w:szCs w:val="32"/>
        </w:rPr>
      </w:pPr>
    </w:p>
    <w:p>
      <w:pPr>
        <w:spacing w:line="480" w:lineRule="exact"/>
        <w:ind w:firstLine="640" w:firstLineChars="200"/>
        <w:rPr>
          <w:rFonts w:ascii="仿宋_GB2312" w:eastAsia="仿宋_GB2312"/>
          <w:sz w:val="32"/>
          <w:szCs w:val="32"/>
        </w:rPr>
        <w:sectPr>
          <w:footerReference r:id="rId3" w:type="default"/>
          <w:footerReference r:id="rId4" w:type="even"/>
          <w:pgSz w:w="11906" w:h="16838"/>
          <w:pgMar w:top="2098" w:right="1588" w:bottom="2098" w:left="1588" w:header="851" w:footer="1644" w:gutter="0"/>
          <w:pgNumType w:fmt="numberInDash"/>
          <w:cols w:space="425" w:num="1"/>
          <w:docGrid w:type="lines" w:linePitch="312" w:charSpace="0"/>
        </w:sectPr>
      </w:pPr>
    </w:p>
    <w:p>
      <w:pPr>
        <w:shd w:val="clear" w:color="auto" w:fill="FFFFFF"/>
        <w:spacing w:after="156" w:afterLines="50" w:line="560" w:lineRule="exact"/>
        <w:rPr>
          <w:rFonts w:ascii="方正小标宋简体" w:hAnsi="方正小标宋简体" w:eastAsia="方正小标宋简体" w:cs="方正小标宋简体"/>
          <w:bCs/>
          <w:sz w:val="44"/>
          <w:szCs w:val="44"/>
        </w:rPr>
      </w:pPr>
      <w:r>
        <w:rPr>
          <w:rFonts w:hint="eastAsia" w:ascii="黑体" w:hAnsi="黑体" w:eastAsia="黑体"/>
          <w:sz w:val="32"/>
          <w:szCs w:val="32"/>
        </w:rPr>
        <w:t>附件1</w:t>
      </w:r>
    </w:p>
    <w:p>
      <w:pPr>
        <w:snapToGrid w:val="0"/>
        <w:spacing w:after="156" w:afterLines="50" w:line="560" w:lineRule="exact"/>
        <w:jc w:val="center"/>
        <w:rPr>
          <w:rFonts w:ascii="方正小标宋简体" w:hAnsi="黑体" w:eastAsia="方正小标宋简体" w:cs="黑体"/>
          <w:spacing w:val="-6"/>
          <w:sz w:val="44"/>
          <w:szCs w:val="44"/>
        </w:rPr>
      </w:pPr>
      <w:r>
        <w:rPr>
          <w:rFonts w:hint="eastAsia" w:ascii="方正小标宋简体" w:hAnsi="黑体" w:eastAsia="方正小标宋简体" w:cs="黑体"/>
          <w:spacing w:val="-6"/>
          <w:sz w:val="44"/>
          <w:szCs w:val="44"/>
        </w:rPr>
        <w:t>街道办事处城市管理综合考评事项责任分工表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302"/>
        <w:gridCol w:w="3459"/>
        <w:gridCol w:w="772"/>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660" w:type="dxa"/>
            <w:vAlign w:val="center"/>
          </w:tcPr>
          <w:p>
            <w:pPr>
              <w:snapToGrid w:val="0"/>
              <w:spacing w:line="200" w:lineRule="exact"/>
              <w:jc w:val="center"/>
              <w:rPr>
                <w:rFonts w:ascii="黑体" w:hAnsi="黑体" w:eastAsia="黑体" w:cs="黑体"/>
                <w:bCs/>
                <w:szCs w:val="21"/>
              </w:rPr>
            </w:pPr>
            <w:r>
              <w:rPr>
                <w:rFonts w:hint="eastAsia" w:ascii="黑体" w:hAnsi="黑体" w:eastAsia="黑体" w:cs="黑体"/>
                <w:bCs/>
                <w:szCs w:val="21"/>
              </w:rPr>
              <w:t>序号</w:t>
            </w:r>
          </w:p>
        </w:tc>
        <w:tc>
          <w:tcPr>
            <w:tcW w:w="1302" w:type="dxa"/>
            <w:vAlign w:val="center"/>
          </w:tcPr>
          <w:p>
            <w:pPr>
              <w:snapToGrid w:val="0"/>
              <w:spacing w:line="200" w:lineRule="exact"/>
              <w:jc w:val="center"/>
              <w:rPr>
                <w:rFonts w:ascii="黑体" w:hAnsi="黑体" w:eastAsia="黑体" w:cs="黑体"/>
                <w:bCs/>
                <w:szCs w:val="21"/>
              </w:rPr>
            </w:pPr>
            <w:r>
              <w:rPr>
                <w:rFonts w:hint="eastAsia" w:ascii="黑体" w:hAnsi="黑体" w:eastAsia="黑体" w:cs="黑体"/>
                <w:bCs/>
                <w:szCs w:val="21"/>
              </w:rPr>
              <w:t>分类</w:t>
            </w:r>
          </w:p>
        </w:tc>
        <w:tc>
          <w:tcPr>
            <w:tcW w:w="3459" w:type="dxa"/>
            <w:vAlign w:val="center"/>
          </w:tcPr>
          <w:p>
            <w:pPr>
              <w:snapToGrid w:val="0"/>
              <w:spacing w:line="200" w:lineRule="exact"/>
              <w:jc w:val="center"/>
              <w:rPr>
                <w:rFonts w:ascii="黑体" w:hAnsi="黑体" w:eastAsia="黑体" w:cs="黑体"/>
                <w:bCs/>
                <w:szCs w:val="21"/>
              </w:rPr>
            </w:pPr>
            <w:r>
              <w:rPr>
                <w:rFonts w:hint="eastAsia" w:ascii="黑体" w:hAnsi="黑体" w:eastAsia="黑体" w:cs="黑体"/>
                <w:bCs/>
                <w:szCs w:val="21"/>
              </w:rPr>
              <w:t>考评项目</w:t>
            </w:r>
          </w:p>
        </w:tc>
        <w:tc>
          <w:tcPr>
            <w:tcW w:w="772" w:type="dxa"/>
            <w:tcMar>
              <w:top w:w="0" w:type="dxa"/>
              <w:left w:w="0" w:type="dxa"/>
              <w:bottom w:w="0" w:type="dxa"/>
              <w:right w:w="0" w:type="dxa"/>
            </w:tcMar>
            <w:vAlign w:val="center"/>
          </w:tcPr>
          <w:p>
            <w:pPr>
              <w:snapToGrid w:val="0"/>
              <w:spacing w:line="200" w:lineRule="exact"/>
              <w:jc w:val="center"/>
              <w:rPr>
                <w:rFonts w:ascii="黑体" w:hAnsi="黑体" w:eastAsia="黑体" w:cs="黑体"/>
                <w:bCs/>
                <w:szCs w:val="21"/>
              </w:rPr>
            </w:pPr>
            <w:r>
              <w:rPr>
                <w:rFonts w:hint="eastAsia" w:ascii="黑体" w:hAnsi="黑体" w:eastAsia="黑体" w:cs="黑体"/>
                <w:bCs/>
                <w:szCs w:val="21"/>
              </w:rPr>
              <w:t xml:space="preserve">权重 </w:t>
            </w:r>
          </w:p>
          <w:p>
            <w:pPr>
              <w:snapToGrid w:val="0"/>
              <w:spacing w:line="200" w:lineRule="exact"/>
              <w:jc w:val="center"/>
              <w:rPr>
                <w:rFonts w:ascii="黑体" w:hAnsi="黑体" w:eastAsia="黑体" w:cs="黑体"/>
                <w:bCs/>
                <w:szCs w:val="21"/>
              </w:rPr>
            </w:pPr>
            <w:r>
              <w:rPr>
                <w:rFonts w:hint="eastAsia" w:ascii="黑体" w:hAnsi="黑体" w:eastAsia="黑体" w:cs="黑体"/>
                <w:bCs/>
                <w:szCs w:val="21"/>
              </w:rPr>
              <w:t>分值</w:t>
            </w:r>
          </w:p>
        </w:tc>
        <w:tc>
          <w:tcPr>
            <w:tcW w:w="2865" w:type="dxa"/>
            <w:vAlign w:val="center"/>
          </w:tcPr>
          <w:p>
            <w:pPr>
              <w:snapToGrid w:val="0"/>
              <w:spacing w:line="200" w:lineRule="exact"/>
              <w:jc w:val="center"/>
              <w:rPr>
                <w:rFonts w:ascii="黑体" w:hAnsi="黑体" w:eastAsia="黑体" w:cs="黑体"/>
                <w:bCs/>
                <w:szCs w:val="21"/>
              </w:rPr>
            </w:pPr>
            <w:r>
              <w:rPr>
                <w:rFonts w:hint="eastAsia" w:ascii="黑体" w:hAnsi="黑体" w:eastAsia="黑体" w:cs="黑体"/>
                <w:bCs/>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60" w:type="dxa"/>
            <w:vAlign w:val="center"/>
          </w:tcPr>
          <w:p>
            <w:pPr>
              <w:snapToGrid w:val="0"/>
              <w:spacing w:line="240" w:lineRule="exact"/>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1</w:t>
            </w:r>
          </w:p>
        </w:tc>
        <w:tc>
          <w:tcPr>
            <w:tcW w:w="1302" w:type="dxa"/>
            <w:vMerge w:val="restart"/>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区政府部门</w:t>
            </w:r>
          </w:p>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考评</w:t>
            </w:r>
          </w:p>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（600分）</w:t>
            </w:r>
          </w:p>
        </w:tc>
        <w:tc>
          <w:tcPr>
            <w:tcW w:w="3459"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生活垃圾分类</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50</w:t>
            </w:r>
          </w:p>
        </w:tc>
        <w:tc>
          <w:tcPr>
            <w:tcW w:w="2865"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60" w:type="dxa"/>
            <w:vAlign w:val="center"/>
          </w:tcPr>
          <w:p>
            <w:pPr>
              <w:snapToGrid w:val="0"/>
              <w:spacing w:line="240" w:lineRule="exact"/>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2</w:t>
            </w:r>
          </w:p>
        </w:tc>
        <w:tc>
          <w:tcPr>
            <w:tcW w:w="1302" w:type="dxa"/>
            <w:vMerge w:val="continue"/>
            <w:vAlign w:val="center"/>
          </w:tcPr>
          <w:p>
            <w:pPr>
              <w:snapToGrid w:val="0"/>
              <w:spacing w:line="240" w:lineRule="exact"/>
              <w:jc w:val="center"/>
              <w:rPr>
                <w:rFonts w:ascii="仿宋_GB2312" w:hAnsi="仿宋" w:eastAsia="仿宋_GB2312" w:cs="仿宋"/>
                <w:szCs w:val="21"/>
              </w:rPr>
            </w:pPr>
          </w:p>
        </w:tc>
        <w:tc>
          <w:tcPr>
            <w:tcW w:w="3459"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智慧城管</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40</w:t>
            </w:r>
          </w:p>
        </w:tc>
        <w:tc>
          <w:tcPr>
            <w:tcW w:w="2865"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区城管委办公室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60" w:type="dxa"/>
            <w:vAlign w:val="center"/>
          </w:tcPr>
          <w:p>
            <w:pPr>
              <w:snapToGrid w:val="0"/>
              <w:spacing w:line="240" w:lineRule="exact"/>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3</w:t>
            </w:r>
          </w:p>
        </w:tc>
        <w:tc>
          <w:tcPr>
            <w:tcW w:w="1302" w:type="dxa"/>
            <w:vMerge w:val="continue"/>
            <w:vAlign w:val="center"/>
          </w:tcPr>
          <w:p>
            <w:pPr>
              <w:snapToGrid w:val="0"/>
              <w:spacing w:line="240" w:lineRule="exact"/>
              <w:jc w:val="center"/>
              <w:rPr>
                <w:rFonts w:ascii="仿宋_GB2312" w:hAnsi="仿宋" w:eastAsia="仿宋_GB2312" w:cs="仿宋"/>
                <w:szCs w:val="21"/>
              </w:rPr>
            </w:pPr>
          </w:p>
        </w:tc>
        <w:tc>
          <w:tcPr>
            <w:tcW w:w="3459"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建筑垃圾处置管理</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40</w:t>
            </w:r>
          </w:p>
        </w:tc>
        <w:tc>
          <w:tcPr>
            <w:tcW w:w="2865"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60" w:type="dxa"/>
            <w:vAlign w:val="center"/>
          </w:tcPr>
          <w:p>
            <w:pPr>
              <w:snapToGrid w:val="0"/>
              <w:spacing w:line="240" w:lineRule="exact"/>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4</w:t>
            </w:r>
          </w:p>
        </w:tc>
        <w:tc>
          <w:tcPr>
            <w:tcW w:w="1302" w:type="dxa"/>
            <w:vMerge w:val="continue"/>
            <w:vAlign w:val="center"/>
          </w:tcPr>
          <w:p>
            <w:pPr>
              <w:snapToGrid w:val="0"/>
              <w:spacing w:line="240" w:lineRule="exact"/>
              <w:jc w:val="center"/>
              <w:rPr>
                <w:rFonts w:ascii="仿宋_GB2312" w:hAnsi="仿宋" w:eastAsia="仿宋_GB2312" w:cs="仿宋"/>
                <w:szCs w:val="21"/>
              </w:rPr>
            </w:pPr>
          </w:p>
        </w:tc>
        <w:tc>
          <w:tcPr>
            <w:tcW w:w="3459"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交通设施与秩序管理</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50</w:t>
            </w:r>
          </w:p>
        </w:tc>
        <w:tc>
          <w:tcPr>
            <w:tcW w:w="2865"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区交警大队（区静态办）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60" w:type="dxa"/>
            <w:vAlign w:val="center"/>
          </w:tcPr>
          <w:p>
            <w:pPr>
              <w:snapToGrid w:val="0"/>
              <w:spacing w:line="240" w:lineRule="exact"/>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5</w:t>
            </w:r>
          </w:p>
        </w:tc>
        <w:tc>
          <w:tcPr>
            <w:tcW w:w="1302" w:type="dxa"/>
            <w:vMerge w:val="continue"/>
            <w:vAlign w:val="center"/>
          </w:tcPr>
          <w:p>
            <w:pPr>
              <w:snapToGrid w:val="0"/>
              <w:spacing w:line="240" w:lineRule="exact"/>
              <w:jc w:val="center"/>
              <w:rPr>
                <w:rFonts w:ascii="仿宋_GB2312" w:hAnsi="仿宋" w:eastAsia="仿宋_GB2312" w:cs="仿宋"/>
                <w:szCs w:val="21"/>
              </w:rPr>
            </w:pPr>
          </w:p>
        </w:tc>
        <w:tc>
          <w:tcPr>
            <w:tcW w:w="3459"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居民小区物业管理</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30</w:t>
            </w:r>
          </w:p>
        </w:tc>
        <w:tc>
          <w:tcPr>
            <w:tcW w:w="2865"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区住房和城市建设局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60" w:type="dxa"/>
            <w:vAlign w:val="center"/>
          </w:tcPr>
          <w:p>
            <w:pPr>
              <w:snapToGrid w:val="0"/>
              <w:spacing w:line="240" w:lineRule="exact"/>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6</w:t>
            </w:r>
          </w:p>
        </w:tc>
        <w:tc>
          <w:tcPr>
            <w:tcW w:w="1302" w:type="dxa"/>
            <w:vMerge w:val="continue"/>
            <w:vAlign w:val="center"/>
          </w:tcPr>
          <w:p>
            <w:pPr>
              <w:snapToGrid w:val="0"/>
              <w:spacing w:line="240" w:lineRule="exact"/>
              <w:jc w:val="center"/>
              <w:rPr>
                <w:rFonts w:ascii="仿宋_GB2312" w:hAnsi="仿宋" w:eastAsia="仿宋_GB2312" w:cs="仿宋"/>
                <w:szCs w:val="21"/>
              </w:rPr>
            </w:pPr>
          </w:p>
        </w:tc>
        <w:tc>
          <w:tcPr>
            <w:tcW w:w="3459"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“门前五包”责任制工作</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30</w:t>
            </w:r>
          </w:p>
        </w:tc>
        <w:tc>
          <w:tcPr>
            <w:tcW w:w="2865" w:type="dxa"/>
            <w:vMerge w:val="restart"/>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区城市管理局</w:t>
            </w:r>
          </w:p>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60" w:type="dxa"/>
            <w:vAlign w:val="center"/>
          </w:tcPr>
          <w:p>
            <w:pPr>
              <w:snapToGrid w:val="0"/>
              <w:spacing w:line="240" w:lineRule="exact"/>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7</w:t>
            </w:r>
          </w:p>
        </w:tc>
        <w:tc>
          <w:tcPr>
            <w:tcW w:w="1302" w:type="dxa"/>
            <w:vMerge w:val="continue"/>
            <w:vAlign w:val="center"/>
          </w:tcPr>
          <w:p>
            <w:pPr>
              <w:snapToGrid w:val="0"/>
              <w:spacing w:line="240" w:lineRule="exact"/>
              <w:jc w:val="center"/>
              <w:rPr>
                <w:rFonts w:ascii="仿宋_GB2312" w:hAnsi="仿宋" w:eastAsia="仿宋_GB2312" w:cs="仿宋"/>
                <w:szCs w:val="21"/>
              </w:rPr>
            </w:pPr>
          </w:p>
        </w:tc>
        <w:tc>
          <w:tcPr>
            <w:tcW w:w="3459"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道路保洁</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30</w:t>
            </w:r>
          </w:p>
        </w:tc>
        <w:tc>
          <w:tcPr>
            <w:tcW w:w="2865" w:type="dxa"/>
            <w:vMerge w:val="continue"/>
            <w:vAlign w:val="center"/>
          </w:tcPr>
          <w:p>
            <w:pPr>
              <w:snapToGrid w:val="0"/>
              <w:spacing w:line="240" w:lineRule="exact"/>
              <w:ind w:firstLine="420" w:firstLineChars="200"/>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60" w:type="dxa"/>
            <w:vAlign w:val="center"/>
          </w:tcPr>
          <w:p>
            <w:pPr>
              <w:snapToGrid w:val="0"/>
              <w:spacing w:line="240" w:lineRule="exact"/>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8</w:t>
            </w:r>
          </w:p>
        </w:tc>
        <w:tc>
          <w:tcPr>
            <w:tcW w:w="1302" w:type="dxa"/>
            <w:vMerge w:val="continue"/>
            <w:vAlign w:val="center"/>
          </w:tcPr>
          <w:p>
            <w:pPr>
              <w:snapToGrid w:val="0"/>
              <w:spacing w:line="240" w:lineRule="exact"/>
              <w:jc w:val="center"/>
              <w:rPr>
                <w:rFonts w:ascii="仿宋_GB2312" w:hAnsi="仿宋" w:eastAsia="仿宋_GB2312" w:cs="仿宋"/>
                <w:szCs w:val="21"/>
              </w:rPr>
            </w:pPr>
          </w:p>
        </w:tc>
        <w:tc>
          <w:tcPr>
            <w:tcW w:w="3459"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广告与城市照明管理</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30</w:t>
            </w:r>
          </w:p>
        </w:tc>
        <w:tc>
          <w:tcPr>
            <w:tcW w:w="2865" w:type="dxa"/>
            <w:vMerge w:val="continue"/>
            <w:vAlign w:val="center"/>
          </w:tcPr>
          <w:p>
            <w:pPr>
              <w:snapToGrid w:val="0"/>
              <w:spacing w:line="24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60" w:type="dxa"/>
            <w:vAlign w:val="center"/>
          </w:tcPr>
          <w:p>
            <w:pPr>
              <w:snapToGrid w:val="0"/>
              <w:spacing w:line="240" w:lineRule="exact"/>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9</w:t>
            </w:r>
          </w:p>
        </w:tc>
        <w:tc>
          <w:tcPr>
            <w:tcW w:w="1302" w:type="dxa"/>
            <w:vMerge w:val="continue"/>
            <w:vAlign w:val="center"/>
          </w:tcPr>
          <w:p>
            <w:pPr>
              <w:snapToGrid w:val="0"/>
              <w:spacing w:line="240" w:lineRule="exact"/>
              <w:jc w:val="center"/>
              <w:rPr>
                <w:rFonts w:ascii="仿宋_GB2312" w:hAnsi="仿宋" w:eastAsia="仿宋_GB2312" w:cs="仿宋"/>
                <w:szCs w:val="21"/>
              </w:rPr>
            </w:pPr>
          </w:p>
        </w:tc>
        <w:tc>
          <w:tcPr>
            <w:tcW w:w="3459"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占道经营治理</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30</w:t>
            </w:r>
          </w:p>
        </w:tc>
        <w:tc>
          <w:tcPr>
            <w:tcW w:w="2865" w:type="dxa"/>
            <w:vMerge w:val="continue"/>
            <w:vAlign w:val="center"/>
          </w:tcPr>
          <w:p>
            <w:pPr>
              <w:snapToGrid w:val="0"/>
              <w:spacing w:line="24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60" w:type="dxa"/>
            <w:vAlign w:val="center"/>
          </w:tcPr>
          <w:p>
            <w:pPr>
              <w:snapToGrid w:val="0"/>
              <w:spacing w:line="240" w:lineRule="exact"/>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10</w:t>
            </w:r>
          </w:p>
        </w:tc>
        <w:tc>
          <w:tcPr>
            <w:tcW w:w="1302" w:type="dxa"/>
            <w:vMerge w:val="continue"/>
            <w:vAlign w:val="center"/>
          </w:tcPr>
          <w:p>
            <w:pPr>
              <w:snapToGrid w:val="0"/>
              <w:spacing w:line="240" w:lineRule="exact"/>
              <w:jc w:val="center"/>
              <w:rPr>
                <w:rFonts w:ascii="仿宋_GB2312" w:hAnsi="仿宋" w:eastAsia="仿宋_GB2312" w:cs="仿宋"/>
                <w:szCs w:val="21"/>
              </w:rPr>
            </w:pPr>
          </w:p>
        </w:tc>
        <w:tc>
          <w:tcPr>
            <w:tcW w:w="3459"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河道水域管理</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30</w:t>
            </w:r>
          </w:p>
        </w:tc>
        <w:tc>
          <w:tcPr>
            <w:tcW w:w="2865"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60" w:type="dxa"/>
            <w:vAlign w:val="center"/>
          </w:tcPr>
          <w:p>
            <w:pPr>
              <w:snapToGrid w:val="0"/>
              <w:spacing w:line="240" w:lineRule="exact"/>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11</w:t>
            </w:r>
          </w:p>
        </w:tc>
        <w:tc>
          <w:tcPr>
            <w:tcW w:w="1302" w:type="dxa"/>
            <w:vMerge w:val="continue"/>
            <w:vAlign w:val="center"/>
          </w:tcPr>
          <w:p>
            <w:pPr>
              <w:snapToGrid w:val="0"/>
              <w:spacing w:line="240" w:lineRule="exact"/>
              <w:jc w:val="center"/>
              <w:rPr>
                <w:rFonts w:ascii="仿宋_GB2312" w:hAnsi="仿宋" w:eastAsia="仿宋_GB2312" w:cs="仿宋"/>
                <w:szCs w:val="21"/>
              </w:rPr>
            </w:pPr>
          </w:p>
        </w:tc>
        <w:tc>
          <w:tcPr>
            <w:tcW w:w="3459"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绿化养护管理</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30</w:t>
            </w:r>
          </w:p>
        </w:tc>
        <w:tc>
          <w:tcPr>
            <w:tcW w:w="2865"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区园林绿化服务中心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60" w:type="dxa"/>
            <w:vAlign w:val="center"/>
          </w:tcPr>
          <w:p>
            <w:pPr>
              <w:snapToGrid w:val="0"/>
              <w:spacing w:line="240" w:lineRule="exact"/>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12</w:t>
            </w:r>
          </w:p>
        </w:tc>
        <w:tc>
          <w:tcPr>
            <w:tcW w:w="1302" w:type="dxa"/>
            <w:vMerge w:val="continue"/>
            <w:vAlign w:val="center"/>
          </w:tcPr>
          <w:p>
            <w:pPr>
              <w:snapToGrid w:val="0"/>
              <w:spacing w:line="240" w:lineRule="exact"/>
              <w:jc w:val="center"/>
              <w:rPr>
                <w:rFonts w:ascii="仿宋_GB2312" w:hAnsi="仿宋" w:eastAsia="仿宋_GB2312" w:cs="仿宋"/>
                <w:szCs w:val="21"/>
              </w:rPr>
            </w:pPr>
          </w:p>
        </w:tc>
        <w:tc>
          <w:tcPr>
            <w:tcW w:w="3459"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工地围挡管理</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30</w:t>
            </w:r>
          </w:p>
        </w:tc>
        <w:tc>
          <w:tcPr>
            <w:tcW w:w="2865"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区住房和城市建设局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60" w:type="dxa"/>
            <w:vAlign w:val="center"/>
          </w:tcPr>
          <w:p>
            <w:pPr>
              <w:snapToGrid w:val="0"/>
              <w:spacing w:line="240" w:lineRule="exact"/>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13</w:t>
            </w:r>
          </w:p>
        </w:tc>
        <w:tc>
          <w:tcPr>
            <w:tcW w:w="1302" w:type="dxa"/>
            <w:vMerge w:val="continue"/>
            <w:vAlign w:val="center"/>
          </w:tcPr>
          <w:p>
            <w:pPr>
              <w:snapToGrid w:val="0"/>
              <w:spacing w:line="240" w:lineRule="exact"/>
              <w:jc w:val="center"/>
              <w:rPr>
                <w:rFonts w:ascii="仿宋_GB2312" w:hAnsi="仿宋" w:eastAsia="仿宋_GB2312" w:cs="仿宋"/>
                <w:szCs w:val="21"/>
              </w:rPr>
            </w:pPr>
          </w:p>
        </w:tc>
        <w:tc>
          <w:tcPr>
            <w:tcW w:w="3459"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临街建筑外立面管理</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30</w:t>
            </w:r>
          </w:p>
        </w:tc>
        <w:tc>
          <w:tcPr>
            <w:tcW w:w="2865" w:type="dxa"/>
            <w:vMerge w:val="restart"/>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区城市管理局</w:t>
            </w:r>
          </w:p>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60" w:type="dxa"/>
            <w:vAlign w:val="center"/>
          </w:tcPr>
          <w:p>
            <w:pPr>
              <w:snapToGrid w:val="0"/>
              <w:spacing w:line="240" w:lineRule="exact"/>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14</w:t>
            </w:r>
          </w:p>
        </w:tc>
        <w:tc>
          <w:tcPr>
            <w:tcW w:w="1302" w:type="dxa"/>
            <w:vMerge w:val="continue"/>
            <w:vAlign w:val="center"/>
          </w:tcPr>
          <w:p>
            <w:pPr>
              <w:snapToGrid w:val="0"/>
              <w:spacing w:line="240" w:lineRule="exact"/>
              <w:jc w:val="center"/>
              <w:rPr>
                <w:rFonts w:ascii="仿宋_GB2312" w:hAnsi="仿宋" w:eastAsia="仿宋_GB2312" w:cs="仿宋"/>
                <w:szCs w:val="21"/>
              </w:rPr>
            </w:pPr>
          </w:p>
        </w:tc>
        <w:tc>
          <w:tcPr>
            <w:tcW w:w="3459"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公共卫生间管理</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30</w:t>
            </w:r>
          </w:p>
        </w:tc>
        <w:tc>
          <w:tcPr>
            <w:tcW w:w="2865" w:type="dxa"/>
            <w:vMerge w:val="continue"/>
            <w:vAlign w:val="center"/>
          </w:tcPr>
          <w:p>
            <w:pPr>
              <w:snapToGrid w:val="0"/>
              <w:spacing w:line="24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60" w:type="dxa"/>
            <w:vAlign w:val="center"/>
          </w:tcPr>
          <w:p>
            <w:pPr>
              <w:snapToGrid w:val="0"/>
              <w:spacing w:line="240" w:lineRule="exact"/>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15</w:t>
            </w:r>
          </w:p>
        </w:tc>
        <w:tc>
          <w:tcPr>
            <w:tcW w:w="1302" w:type="dxa"/>
            <w:vMerge w:val="continue"/>
            <w:vAlign w:val="center"/>
          </w:tcPr>
          <w:p>
            <w:pPr>
              <w:snapToGrid w:val="0"/>
              <w:spacing w:line="240" w:lineRule="exact"/>
              <w:jc w:val="center"/>
              <w:rPr>
                <w:rFonts w:ascii="仿宋_GB2312" w:hAnsi="仿宋" w:eastAsia="仿宋_GB2312" w:cs="仿宋"/>
                <w:szCs w:val="21"/>
              </w:rPr>
            </w:pPr>
          </w:p>
        </w:tc>
        <w:tc>
          <w:tcPr>
            <w:tcW w:w="3459"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环卫公用设施建设与管理</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30</w:t>
            </w:r>
          </w:p>
        </w:tc>
        <w:tc>
          <w:tcPr>
            <w:tcW w:w="2865" w:type="dxa"/>
            <w:vMerge w:val="continue"/>
            <w:vAlign w:val="center"/>
          </w:tcPr>
          <w:p>
            <w:pPr>
              <w:snapToGrid w:val="0"/>
              <w:spacing w:line="24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60" w:type="dxa"/>
            <w:vAlign w:val="center"/>
          </w:tcPr>
          <w:p>
            <w:pPr>
              <w:snapToGrid w:val="0"/>
              <w:spacing w:line="240" w:lineRule="exact"/>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16</w:t>
            </w:r>
          </w:p>
        </w:tc>
        <w:tc>
          <w:tcPr>
            <w:tcW w:w="1302" w:type="dxa"/>
            <w:vMerge w:val="continue"/>
            <w:vAlign w:val="center"/>
          </w:tcPr>
          <w:p>
            <w:pPr>
              <w:snapToGrid w:val="0"/>
              <w:spacing w:line="240" w:lineRule="exact"/>
              <w:jc w:val="center"/>
              <w:rPr>
                <w:rFonts w:ascii="仿宋_GB2312" w:hAnsi="仿宋" w:eastAsia="仿宋_GB2312" w:cs="仿宋"/>
                <w:szCs w:val="21"/>
              </w:rPr>
            </w:pPr>
          </w:p>
        </w:tc>
        <w:tc>
          <w:tcPr>
            <w:tcW w:w="3459"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执法行为规范</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20</w:t>
            </w:r>
          </w:p>
        </w:tc>
        <w:tc>
          <w:tcPr>
            <w:tcW w:w="2865" w:type="dxa"/>
            <w:vMerge w:val="continue"/>
            <w:vAlign w:val="center"/>
          </w:tcPr>
          <w:p>
            <w:pPr>
              <w:snapToGrid w:val="0"/>
              <w:spacing w:line="24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60" w:type="dxa"/>
            <w:vAlign w:val="center"/>
          </w:tcPr>
          <w:p>
            <w:pPr>
              <w:snapToGrid w:val="0"/>
              <w:spacing w:line="240" w:lineRule="exact"/>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17</w:t>
            </w:r>
          </w:p>
        </w:tc>
        <w:tc>
          <w:tcPr>
            <w:tcW w:w="1302" w:type="dxa"/>
            <w:vMerge w:val="continue"/>
            <w:vAlign w:val="center"/>
          </w:tcPr>
          <w:p>
            <w:pPr>
              <w:snapToGrid w:val="0"/>
              <w:spacing w:line="240" w:lineRule="exact"/>
              <w:jc w:val="center"/>
              <w:rPr>
                <w:rFonts w:ascii="仿宋_GB2312" w:hAnsi="仿宋" w:eastAsia="仿宋_GB2312" w:cs="仿宋"/>
                <w:szCs w:val="21"/>
              </w:rPr>
            </w:pPr>
          </w:p>
        </w:tc>
        <w:tc>
          <w:tcPr>
            <w:tcW w:w="3459"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违法建设整治</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20</w:t>
            </w:r>
          </w:p>
        </w:tc>
        <w:tc>
          <w:tcPr>
            <w:tcW w:w="2865" w:type="dxa"/>
            <w:vMerge w:val="continue"/>
            <w:vAlign w:val="center"/>
          </w:tcPr>
          <w:p>
            <w:pPr>
              <w:snapToGrid w:val="0"/>
              <w:spacing w:line="240" w:lineRule="exact"/>
              <w:ind w:firstLine="210" w:firstLineChars="100"/>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60" w:type="dxa"/>
            <w:vAlign w:val="center"/>
          </w:tcPr>
          <w:p>
            <w:pPr>
              <w:snapToGrid w:val="0"/>
              <w:spacing w:line="240" w:lineRule="exact"/>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18</w:t>
            </w:r>
          </w:p>
        </w:tc>
        <w:tc>
          <w:tcPr>
            <w:tcW w:w="1302" w:type="dxa"/>
            <w:vMerge w:val="continue"/>
            <w:vAlign w:val="center"/>
          </w:tcPr>
          <w:p>
            <w:pPr>
              <w:snapToGrid w:val="0"/>
              <w:spacing w:line="240" w:lineRule="exact"/>
              <w:jc w:val="center"/>
              <w:rPr>
                <w:rFonts w:ascii="仿宋_GB2312" w:hAnsi="仿宋" w:eastAsia="仿宋_GB2312" w:cs="仿宋"/>
                <w:szCs w:val="21"/>
              </w:rPr>
            </w:pPr>
          </w:p>
        </w:tc>
        <w:tc>
          <w:tcPr>
            <w:tcW w:w="3459"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公共全民健身设施管理</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20</w:t>
            </w:r>
          </w:p>
        </w:tc>
        <w:tc>
          <w:tcPr>
            <w:tcW w:w="2865"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区教育和体育局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60" w:type="dxa"/>
            <w:vAlign w:val="center"/>
          </w:tcPr>
          <w:p>
            <w:pPr>
              <w:snapToGrid w:val="0"/>
              <w:spacing w:line="240" w:lineRule="exact"/>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19</w:t>
            </w:r>
          </w:p>
        </w:tc>
        <w:tc>
          <w:tcPr>
            <w:tcW w:w="1302" w:type="dxa"/>
            <w:vMerge w:val="continue"/>
            <w:vAlign w:val="center"/>
          </w:tcPr>
          <w:p>
            <w:pPr>
              <w:snapToGrid w:val="0"/>
              <w:spacing w:line="240" w:lineRule="exact"/>
              <w:jc w:val="center"/>
              <w:rPr>
                <w:rFonts w:ascii="仿宋_GB2312" w:hAnsi="仿宋" w:eastAsia="仿宋_GB2312" w:cs="仿宋"/>
                <w:szCs w:val="21"/>
              </w:rPr>
            </w:pPr>
          </w:p>
        </w:tc>
        <w:tc>
          <w:tcPr>
            <w:tcW w:w="3459"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城市管理进社区</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30</w:t>
            </w:r>
          </w:p>
        </w:tc>
        <w:tc>
          <w:tcPr>
            <w:tcW w:w="2865"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区城管委办公室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60" w:type="dxa"/>
            <w:vMerge w:val="restart"/>
            <w:vAlign w:val="center"/>
          </w:tcPr>
          <w:p>
            <w:pPr>
              <w:snapToGrid w:val="0"/>
              <w:spacing w:line="240" w:lineRule="exact"/>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20</w:t>
            </w:r>
          </w:p>
        </w:tc>
        <w:tc>
          <w:tcPr>
            <w:tcW w:w="1302" w:type="dxa"/>
            <w:vMerge w:val="restart"/>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社会</w:t>
            </w:r>
          </w:p>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评价</w:t>
            </w:r>
          </w:p>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（200分）</w:t>
            </w:r>
          </w:p>
        </w:tc>
        <w:tc>
          <w:tcPr>
            <w:tcW w:w="3459"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12345市民服务热线办理</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100</w:t>
            </w:r>
          </w:p>
        </w:tc>
        <w:tc>
          <w:tcPr>
            <w:tcW w:w="2865"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区12345热线运行中心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60" w:type="dxa"/>
            <w:vMerge w:val="continue"/>
            <w:vAlign w:val="center"/>
          </w:tcPr>
          <w:p>
            <w:pPr>
              <w:snapToGrid w:val="0"/>
              <w:spacing w:line="240" w:lineRule="exact"/>
              <w:jc w:val="center"/>
              <w:rPr>
                <w:rFonts w:ascii="仿宋_GB2312" w:eastAsia="仿宋_GB2312" w:hAnsiTheme="minorEastAsia" w:cstheme="minorEastAsia"/>
                <w:szCs w:val="21"/>
              </w:rPr>
            </w:pPr>
          </w:p>
        </w:tc>
        <w:tc>
          <w:tcPr>
            <w:tcW w:w="1302" w:type="dxa"/>
            <w:vMerge w:val="continue"/>
            <w:vAlign w:val="center"/>
          </w:tcPr>
          <w:p>
            <w:pPr>
              <w:snapToGrid w:val="0"/>
              <w:spacing w:line="240" w:lineRule="exact"/>
              <w:jc w:val="center"/>
              <w:rPr>
                <w:rFonts w:ascii="仿宋_GB2312" w:hAnsi="仿宋" w:eastAsia="仿宋_GB2312" w:cs="仿宋"/>
                <w:szCs w:val="21"/>
              </w:rPr>
            </w:pPr>
          </w:p>
        </w:tc>
        <w:tc>
          <w:tcPr>
            <w:tcW w:w="3459"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社会监督</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100</w:t>
            </w:r>
          </w:p>
        </w:tc>
        <w:tc>
          <w:tcPr>
            <w:tcW w:w="2865"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区城管委办公室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60" w:type="dxa"/>
            <w:vAlign w:val="center"/>
          </w:tcPr>
          <w:p>
            <w:pPr>
              <w:snapToGrid w:val="0"/>
              <w:spacing w:line="240" w:lineRule="exact"/>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21</w:t>
            </w:r>
          </w:p>
        </w:tc>
        <w:tc>
          <w:tcPr>
            <w:tcW w:w="130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第三方测评（200分）</w:t>
            </w:r>
          </w:p>
        </w:tc>
        <w:tc>
          <w:tcPr>
            <w:tcW w:w="3459"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处置第三方工单情况评价</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200</w:t>
            </w:r>
          </w:p>
        </w:tc>
        <w:tc>
          <w:tcPr>
            <w:tcW w:w="2865"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区城管委办公室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21" w:type="dxa"/>
            <w:gridSpan w:val="3"/>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合  计</w:t>
            </w:r>
          </w:p>
        </w:tc>
        <w:tc>
          <w:tcPr>
            <w:tcW w:w="772" w:type="dxa"/>
            <w:vAlign w:val="center"/>
          </w:tcPr>
          <w:p>
            <w:pPr>
              <w:snapToGrid w:val="0"/>
              <w:spacing w:line="240" w:lineRule="exact"/>
              <w:jc w:val="center"/>
              <w:rPr>
                <w:rFonts w:ascii="仿宋_GB2312" w:hAnsi="仿宋" w:eastAsia="仿宋_GB2312" w:cs="仿宋"/>
                <w:szCs w:val="21"/>
              </w:rPr>
            </w:pPr>
            <w:r>
              <w:rPr>
                <w:rFonts w:hint="eastAsia" w:ascii="仿宋_GB2312" w:hAnsi="仿宋" w:eastAsia="仿宋_GB2312" w:cs="仿宋"/>
                <w:szCs w:val="21"/>
              </w:rPr>
              <w:t>1000</w:t>
            </w:r>
          </w:p>
        </w:tc>
        <w:tc>
          <w:tcPr>
            <w:tcW w:w="2865" w:type="dxa"/>
            <w:vAlign w:val="center"/>
          </w:tcPr>
          <w:p>
            <w:pPr>
              <w:snapToGrid w:val="0"/>
              <w:spacing w:line="240" w:lineRule="exact"/>
              <w:jc w:val="center"/>
              <w:rPr>
                <w:rFonts w:ascii="仿宋_GB2312" w:hAnsi="仿宋" w:eastAsia="仿宋_GB2312" w:cs="仿宋"/>
                <w:szCs w:val="21"/>
              </w:rPr>
            </w:pPr>
          </w:p>
        </w:tc>
      </w:tr>
    </w:tbl>
    <w:p>
      <w:pPr>
        <w:snapToGrid w:val="0"/>
        <w:spacing w:after="312" w:afterLines="100" w:line="560" w:lineRule="exact"/>
        <w:rPr>
          <w:rFonts w:ascii="黑体" w:hAnsi="黑体" w:eastAsia="黑体" w:cs="黑体"/>
          <w:b/>
          <w:bCs/>
          <w:sz w:val="32"/>
          <w:szCs w:val="32"/>
        </w:rPr>
      </w:pPr>
      <w:r>
        <w:rPr>
          <w:rFonts w:hint="eastAsia" w:ascii="黑体" w:hAnsi="黑体" w:eastAsia="黑体" w:cs="楷体"/>
          <w:sz w:val="32"/>
          <w:szCs w:val="32"/>
        </w:rPr>
        <w:t>附件2</w:t>
      </w:r>
    </w:p>
    <w:p>
      <w:pPr>
        <w:snapToGrid w:val="0"/>
        <w:spacing w:after="312" w:afterLines="100"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职能部门城市管理综合考评事项责任分工表</w:t>
      </w:r>
    </w:p>
    <w:tbl>
      <w:tblPr>
        <w:tblStyle w:val="17"/>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224"/>
        <w:gridCol w:w="2268"/>
        <w:gridCol w:w="99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856" w:type="dxa"/>
            <w:vAlign w:val="center"/>
          </w:tcPr>
          <w:p>
            <w:pPr>
              <w:snapToGrid w:val="0"/>
              <w:spacing w:line="400" w:lineRule="exact"/>
              <w:jc w:val="center"/>
              <w:rPr>
                <w:rFonts w:ascii="黑体" w:hAnsi="黑体" w:eastAsia="黑体" w:cs="黑体"/>
                <w:bCs/>
                <w:sz w:val="28"/>
                <w:szCs w:val="28"/>
              </w:rPr>
            </w:pPr>
            <w:r>
              <w:rPr>
                <w:rFonts w:hint="eastAsia" w:ascii="黑体" w:hAnsi="黑体" w:eastAsia="黑体" w:cs="黑体"/>
                <w:bCs/>
                <w:sz w:val="28"/>
                <w:szCs w:val="28"/>
              </w:rPr>
              <w:t>序号</w:t>
            </w:r>
          </w:p>
        </w:tc>
        <w:tc>
          <w:tcPr>
            <w:tcW w:w="2224" w:type="dxa"/>
            <w:vAlign w:val="center"/>
          </w:tcPr>
          <w:p>
            <w:pPr>
              <w:spacing w:line="400" w:lineRule="exact"/>
              <w:jc w:val="center"/>
              <w:rPr>
                <w:rFonts w:ascii="黑体" w:hAnsi="黑体" w:eastAsia="黑体" w:cs="黑体"/>
                <w:bCs/>
                <w:sz w:val="28"/>
                <w:szCs w:val="28"/>
              </w:rPr>
            </w:pPr>
            <w:r>
              <w:rPr>
                <w:rFonts w:hint="eastAsia" w:ascii="黑体" w:hAnsi="黑体" w:eastAsia="黑体" w:cs="黑体"/>
                <w:bCs/>
                <w:sz w:val="28"/>
                <w:szCs w:val="28"/>
              </w:rPr>
              <w:t>分类</w:t>
            </w:r>
          </w:p>
        </w:tc>
        <w:tc>
          <w:tcPr>
            <w:tcW w:w="2268" w:type="dxa"/>
            <w:vAlign w:val="center"/>
          </w:tcPr>
          <w:p>
            <w:pPr>
              <w:spacing w:line="400" w:lineRule="exact"/>
              <w:jc w:val="center"/>
              <w:rPr>
                <w:rFonts w:ascii="黑体" w:hAnsi="黑体" w:eastAsia="黑体" w:cs="黑体"/>
                <w:bCs/>
                <w:sz w:val="28"/>
                <w:szCs w:val="28"/>
              </w:rPr>
            </w:pPr>
            <w:r>
              <w:rPr>
                <w:rFonts w:hint="eastAsia" w:ascii="黑体" w:hAnsi="黑体" w:eastAsia="黑体" w:cs="黑体"/>
                <w:bCs/>
                <w:sz w:val="28"/>
                <w:szCs w:val="28"/>
              </w:rPr>
              <w:t>考评项目</w:t>
            </w:r>
          </w:p>
        </w:tc>
        <w:tc>
          <w:tcPr>
            <w:tcW w:w="993" w:type="dxa"/>
          </w:tcPr>
          <w:p>
            <w:pPr>
              <w:spacing w:line="400" w:lineRule="exact"/>
              <w:jc w:val="center"/>
              <w:rPr>
                <w:rFonts w:ascii="黑体" w:hAnsi="黑体" w:eastAsia="黑体" w:cs="黑体"/>
                <w:bCs/>
                <w:sz w:val="28"/>
                <w:szCs w:val="28"/>
              </w:rPr>
            </w:pPr>
            <w:r>
              <w:rPr>
                <w:rFonts w:hint="eastAsia" w:ascii="黑体" w:hAnsi="黑体" w:eastAsia="黑体" w:cs="黑体"/>
                <w:bCs/>
                <w:sz w:val="28"/>
                <w:szCs w:val="28"/>
              </w:rPr>
              <w:t>权重</w:t>
            </w:r>
          </w:p>
          <w:p>
            <w:pPr>
              <w:spacing w:line="400" w:lineRule="exact"/>
              <w:jc w:val="center"/>
              <w:rPr>
                <w:rFonts w:ascii="黑体" w:hAnsi="黑体" w:eastAsia="黑体" w:cs="黑体"/>
                <w:bCs/>
                <w:sz w:val="28"/>
                <w:szCs w:val="28"/>
              </w:rPr>
            </w:pPr>
            <w:r>
              <w:rPr>
                <w:rFonts w:hint="eastAsia" w:ascii="黑体" w:hAnsi="黑体" w:eastAsia="黑体" w:cs="黑体"/>
                <w:bCs/>
                <w:sz w:val="28"/>
                <w:szCs w:val="28"/>
              </w:rPr>
              <w:t>分值</w:t>
            </w:r>
          </w:p>
        </w:tc>
        <w:tc>
          <w:tcPr>
            <w:tcW w:w="2976" w:type="dxa"/>
            <w:vAlign w:val="center"/>
          </w:tcPr>
          <w:p>
            <w:pPr>
              <w:spacing w:line="400" w:lineRule="exact"/>
              <w:jc w:val="center"/>
              <w:rPr>
                <w:rFonts w:ascii="黑体" w:hAnsi="黑体" w:eastAsia="黑体" w:cs="黑体"/>
                <w:bCs/>
                <w:sz w:val="28"/>
                <w:szCs w:val="28"/>
              </w:rPr>
            </w:pPr>
            <w:r>
              <w:rPr>
                <w:rFonts w:hint="eastAsia" w:ascii="黑体" w:hAnsi="黑体" w:eastAsia="黑体" w:cs="黑体"/>
                <w:bCs/>
                <w:sz w:val="28"/>
                <w:szCs w:val="28"/>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224" w:type="dxa"/>
            <w:vAlign w:val="center"/>
          </w:tcPr>
          <w:p>
            <w:pPr>
              <w:snapToGrid w:val="0"/>
              <w:spacing w:line="24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街道对职能部门评价（100分）</w:t>
            </w:r>
          </w:p>
        </w:tc>
        <w:tc>
          <w:tcPr>
            <w:tcW w:w="2268" w:type="dxa"/>
            <w:vAlign w:val="center"/>
          </w:tcPr>
          <w:p>
            <w:pPr>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对职能部门的相关考评内容打分</w:t>
            </w:r>
          </w:p>
        </w:tc>
        <w:tc>
          <w:tcPr>
            <w:tcW w:w="99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2976" w:type="dxa"/>
            <w:vAlign w:val="center"/>
          </w:tcPr>
          <w:p>
            <w:pPr>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85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224" w:type="dxa"/>
            <w:vAlign w:val="center"/>
          </w:tcPr>
          <w:p>
            <w:pPr>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市城管考评成绩（400分）</w:t>
            </w:r>
          </w:p>
        </w:tc>
        <w:tc>
          <w:tcPr>
            <w:tcW w:w="2268" w:type="dxa"/>
            <w:vAlign w:val="center"/>
          </w:tcPr>
          <w:p>
            <w:pPr>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根据评分标准进行赋分</w:t>
            </w:r>
          </w:p>
        </w:tc>
        <w:tc>
          <w:tcPr>
            <w:tcW w:w="99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400</w:t>
            </w:r>
          </w:p>
        </w:tc>
        <w:tc>
          <w:tcPr>
            <w:tcW w:w="297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区城管委办公室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5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224" w:type="dxa"/>
            <w:vMerge w:val="restart"/>
            <w:vAlign w:val="center"/>
          </w:tcPr>
          <w:p>
            <w:pPr>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社会评价</w:t>
            </w:r>
          </w:p>
          <w:p>
            <w:pPr>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（100分）</w:t>
            </w:r>
          </w:p>
        </w:tc>
        <w:tc>
          <w:tcPr>
            <w:tcW w:w="2268" w:type="dxa"/>
            <w:vAlign w:val="center"/>
          </w:tcPr>
          <w:p>
            <w:pPr>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12345市民服务热线办理</w:t>
            </w:r>
          </w:p>
        </w:tc>
        <w:tc>
          <w:tcPr>
            <w:tcW w:w="99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50</w:t>
            </w:r>
          </w:p>
        </w:tc>
        <w:tc>
          <w:tcPr>
            <w:tcW w:w="297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区12345热线运行中心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5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224" w:type="dxa"/>
            <w:vMerge w:val="continue"/>
            <w:vAlign w:val="center"/>
          </w:tcPr>
          <w:p>
            <w:pPr>
              <w:jc w:val="center"/>
              <w:rPr>
                <w:rFonts w:ascii="仿宋_GB2312" w:hAnsi="仿宋_GB2312" w:eastAsia="仿宋_GB2312" w:cs="仿宋_GB2312"/>
                <w:sz w:val="28"/>
                <w:szCs w:val="28"/>
              </w:rPr>
            </w:pPr>
          </w:p>
        </w:tc>
        <w:tc>
          <w:tcPr>
            <w:tcW w:w="2268" w:type="dxa"/>
            <w:vAlign w:val="center"/>
          </w:tcPr>
          <w:p>
            <w:pPr>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社会监督</w:t>
            </w:r>
          </w:p>
        </w:tc>
        <w:tc>
          <w:tcPr>
            <w:tcW w:w="99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50</w:t>
            </w:r>
          </w:p>
        </w:tc>
        <w:tc>
          <w:tcPr>
            <w:tcW w:w="297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区城管委办公室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5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224" w:type="dxa"/>
            <w:vAlign w:val="center"/>
          </w:tcPr>
          <w:p>
            <w:pPr>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第三方测评</w:t>
            </w:r>
          </w:p>
          <w:p>
            <w:pPr>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(400分)</w:t>
            </w:r>
          </w:p>
        </w:tc>
        <w:tc>
          <w:tcPr>
            <w:tcW w:w="2268" w:type="dxa"/>
            <w:vAlign w:val="center"/>
          </w:tcPr>
          <w:p>
            <w:pPr>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处置市第三方 工单情况评价</w:t>
            </w:r>
          </w:p>
        </w:tc>
        <w:tc>
          <w:tcPr>
            <w:tcW w:w="99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400</w:t>
            </w:r>
          </w:p>
        </w:tc>
        <w:tc>
          <w:tcPr>
            <w:tcW w:w="297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区城管委办公室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348" w:type="dxa"/>
            <w:gridSpan w:val="3"/>
            <w:vAlign w:val="center"/>
          </w:tcPr>
          <w:p>
            <w:pPr>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  计</w:t>
            </w:r>
          </w:p>
        </w:tc>
        <w:tc>
          <w:tcPr>
            <w:tcW w:w="99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1000</w:t>
            </w:r>
          </w:p>
        </w:tc>
        <w:tc>
          <w:tcPr>
            <w:tcW w:w="2976" w:type="dxa"/>
            <w:vAlign w:val="center"/>
          </w:tcPr>
          <w:p>
            <w:pPr>
              <w:jc w:val="center"/>
              <w:rPr>
                <w:rFonts w:ascii="仿宋_GB2312" w:hAnsi="仿宋_GB2312" w:eastAsia="仿宋_GB2312" w:cs="仿宋_GB2312"/>
                <w:sz w:val="28"/>
                <w:szCs w:val="28"/>
              </w:rPr>
            </w:pPr>
          </w:p>
        </w:tc>
      </w:tr>
    </w:tbl>
    <w:p/>
    <w:p>
      <w:pPr>
        <w:spacing w:line="480" w:lineRule="exact"/>
        <w:ind w:firstLine="640" w:firstLineChars="200"/>
        <w:rPr>
          <w:rFonts w:ascii="仿宋_GB2312" w:eastAsia="仿宋_GB2312"/>
          <w:sz w:val="32"/>
          <w:szCs w:val="32"/>
        </w:rPr>
      </w:pPr>
    </w:p>
    <w:p>
      <w:pPr>
        <w:spacing w:line="480" w:lineRule="exact"/>
        <w:ind w:firstLine="640" w:firstLineChars="200"/>
        <w:rPr>
          <w:rFonts w:ascii="仿宋_GB2312" w:eastAsia="仿宋_GB2312"/>
          <w:sz w:val="32"/>
          <w:szCs w:val="32"/>
        </w:rPr>
      </w:pPr>
    </w:p>
    <w:p>
      <w:pPr>
        <w:spacing w:line="480" w:lineRule="exact"/>
        <w:ind w:firstLine="640" w:firstLineChars="200"/>
        <w:rPr>
          <w:rFonts w:ascii="仿宋_GB2312" w:eastAsia="仿宋_GB2312"/>
          <w:sz w:val="32"/>
          <w:szCs w:val="32"/>
        </w:rPr>
      </w:pPr>
    </w:p>
    <w:p>
      <w:pPr>
        <w:spacing w:line="340" w:lineRule="exact"/>
        <w:ind w:firstLine="640" w:firstLineChars="200"/>
        <w:rPr>
          <w:rFonts w:ascii="仿宋_GB2312" w:eastAsia="仿宋_GB2312"/>
          <w:sz w:val="32"/>
          <w:szCs w:val="32"/>
        </w:rPr>
      </w:pPr>
    </w:p>
    <w:p>
      <w:pPr>
        <w:tabs>
          <w:tab w:val="left" w:pos="7920"/>
          <w:tab w:val="left" w:pos="8460"/>
        </w:tabs>
        <w:spacing w:line="560" w:lineRule="exact"/>
        <w:ind w:firstLine="210" w:firstLineChars="100"/>
      </w:pPr>
    </w:p>
    <w:sectPr>
      <w:footerReference r:id="rId5" w:type="default"/>
      <w:footerReference r:id="rId6" w:type="even"/>
      <w:pgSz w:w="11906" w:h="16838"/>
      <w:pgMar w:top="2098" w:right="1588" w:bottom="2098" w:left="1588" w:header="851"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lt;p&gt;">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4727862"/>
      <w:docPartObj>
        <w:docPartGallery w:val="AutoText"/>
      </w:docPartObj>
    </w:sdtPr>
    <w:sdtEndPr>
      <w:rPr>
        <w:rFonts w:asciiTheme="minorEastAsia" w:hAnsiTheme="minorEastAsia"/>
        <w:sz w:val="28"/>
        <w:szCs w:val="28"/>
      </w:rPr>
    </w:sdtEndPr>
    <w:sdtContent>
      <w:p>
        <w:pPr>
          <w:pStyle w:val="10"/>
          <w:ind w:right="1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1051159"/>
      <w:docPartObj>
        <w:docPartGallery w:val="AutoText"/>
      </w:docPartObj>
    </w:sdtPr>
    <w:sdtEndPr>
      <w:rPr>
        <w:rFonts w:asciiTheme="majorEastAsia" w:hAnsiTheme="majorEastAsia" w:eastAsiaTheme="majorEastAsia"/>
        <w:sz w:val="28"/>
        <w:szCs w:val="28"/>
      </w:rPr>
    </w:sdtEndPr>
    <w:sdtContent>
      <w:p>
        <w:pPr>
          <w:pStyle w:val="10"/>
          <w:ind w:firstLine="180" w:firstLineChars="100"/>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4397096"/>
      <w:docPartObj>
        <w:docPartGallery w:val="AutoText"/>
      </w:docPartObj>
    </w:sdtPr>
    <w:sdtEndPr>
      <w:rPr>
        <w:rFonts w:asciiTheme="minorEastAsia" w:hAnsiTheme="minorEastAsia"/>
        <w:sz w:val="28"/>
        <w:szCs w:val="28"/>
      </w:rPr>
    </w:sdtEndPr>
    <w:sdtContent>
      <w:p>
        <w:pPr>
          <w:pStyle w:val="10"/>
          <w:ind w:right="1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3037524"/>
      <w:docPartObj>
        <w:docPartGallery w:val="AutoText"/>
      </w:docPartObj>
    </w:sdtPr>
    <w:sdtEndPr>
      <w:rPr>
        <w:rFonts w:asciiTheme="minorEastAsia" w:hAnsiTheme="minorEastAsia"/>
        <w:sz w:val="28"/>
        <w:szCs w:val="28"/>
      </w:rPr>
    </w:sdtEndPr>
    <w:sdtContent>
      <w:p>
        <w:pPr>
          <w:pStyle w:val="10"/>
          <w:ind w:firstLine="180" w:firstLineChars="1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10 -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12"/>
  <w:drawingGridVerticalSpacing w:val="2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E6"/>
    <w:rsid w:val="000107C1"/>
    <w:rsid w:val="000142A0"/>
    <w:rsid w:val="000179EC"/>
    <w:rsid w:val="00020D3A"/>
    <w:rsid w:val="0004478D"/>
    <w:rsid w:val="00044CF1"/>
    <w:rsid w:val="000503AD"/>
    <w:rsid w:val="000504A5"/>
    <w:rsid w:val="0005053A"/>
    <w:rsid w:val="00050EDB"/>
    <w:rsid w:val="00051B32"/>
    <w:rsid w:val="0005253D"/>
    <w:rsid w:val="00054C02"/>
    <w:rsid w:val="0005564E"/>
    <w:rsid w:val="00060D08"/>
    <w:rsid w:val="00063505"/>
    <w:rsid w:val="00065DEF"/>
    <w:rsid w:val="00066EF1"/>
    <w:rsid w:val="000763A1"/>
    <w:rsid w:val="00077C78"/>
    <w:rsid w:val="000821EC"/>
    <w:rsid w:val="000833B8"/>
    <w:rsid w:val="000919A8"/>
    <w:rsid w:val="00097376"/>
    <w:rsid w:val="000A2781"/>
    <w:rsid w:val="000A388C"/>
    <w:rsid w:val="000B2301"/>
    <w:rsid w:val="000B2B99"/>
    <w:rsid w:val="000B37E2"/>
    <w:rsid w:val="000B54AF"/>
    <w:rsid w:val="000C7F7E"/>
    <w:rsid w:val="000D1E6C"/>
    <w:rsid w:val="000D3EE2"/>
    <w:rsid w:val="000E5FC7"/>
    <w:rsid w:val="000F31B0"/>
    <w:rsid w:val="00101E1F"/>
    <w:rsid w:val="00102D7E"/>
    <w:rsid w:val="001048A4"/>
    <w:rsid w:val="001133F6"/>
    <w:rsid w:val="001137DC"/>
    <w:rsid w:val="00114918"/>
    <w:rsid w:val="00116F82"/>
    <w:rsid w:val="001176E4"/>
    <w:rsid w:val="00120F34"/>
    <w:rsid w:val="001266A2"/>
    <w:rsid w:val="0013217D"/>
    <w:rsid w:val="00133244"/>
    <w:rsid w:val="00135EEA"/>
    <w:rsid w:val="00136A15"/>
    <w:rsid w:val="00140207"/>
    <w:rsid w:val="001404D1"/>
    <w:rsid w:val="0014248C"/>
    <w:rsid w:val="00142E11"/>
    <w:rsid w:val="00145483"/>
    <w:rsid w:val="001476F9"/>
    <w:rsid w:val="00150BA9"/>
    <w:rsid w:val="001600C6"/>
    <w:rsid w:val="0016589D"/>
    <w:rsid w:val="0016649A"/>
    <w:rsid w:val="00175A1A"/>
    <w:rsid w:val="00190855"/>
    <w:rsid w:val="00194045"/>
    <w:rsid w:val="001944E4"/>
    <w:rsid w:val="00197A7B"/>
    <w:rsid w:val="00197CE0"/>
    <w:rsid w:val="001A0F8F"/>
    <w:rsid w:val="001A2B0A"/>
    <w:rsid w:val="001A6AEA"/>
    <w:rsid w:val="001B1551"/>
    <w:rsid w:val="001B6361"/>
    <w:rsid w:val="001B650D"/>
    <w:rsid w:val="001B7185"/>
    <w:rsid w:val="001C0D6F"/>
    <w:rsid w:val="001C286F"/>
    <w:rsid w:val="001C44B1"/>
    <w:rsid w:val="001D2EEE"/>
    <w:rsid w:val="001D4721"/>
    <w:rsid w:val="001D6A68"/>
    <w:rsid w:val="001F5809"/>
    <w:rsid w:val="0020189E"/>
    <w:rsid w:val="00203F2F"/>
    <w:rsid w:val="00204569"/>
    <w:rsid w:val="002045E0"/>
    <w:rsid w:val="0020497F"/>
    <w:rsid w:val="00204F2D"/>
    <w:rsid w:val="00207916"/>
    <w:rsid w:val="002110E1"/>
    <w:rsid w:val="00220198"/>
    <w:rsid w:val="00221739"/>
    <w:rsid w:val="00232109"/>
    <w:rsid w:val="00232BDE"/>
    <w:rsid w:val="00240595"/>
    <w:rsid w:val="00241CC0"/>
    <w:rsid w:val="00244CD1"/>
    <w:rsid w:val="0025778A"/>
    <w:rsid w:val="00262198"/>
    <w:rsid w:val="002629A4"/>
    <w:rsid w:val="00262B67"/>
    <w:rsid w:val="00263C11"/>
    <w:rsid w:val="00263DD0"/>
    <w:rsid w:val="00267408"/>
    <w:rsid w:val="0027005F"/>
    <w:rsid w:val="002702C3"/>
    <w:rsid w:val="002742B7"/>
    <w:rsid w:val="00275F88"/>
    <w:rsid w:val="00280687"/>
    <w:rsid w:val="0028091A"/>
    <w:rsid w:val="002841D9"/>
    <w:rsid w:val="00287865"/>
    <w:rsid w:val="00295BF0"/>
    <w:rsid w:val="00296081"/>
    <w:rsid w:val="002975E7"/>
    <w:rsid w:val="002A235B"/>
    <w:rsid w:val="002A610B"/>
    <w:rsid w:val="002B1C1C"/>
    <w:rsid w:val="002C2EFF"/>
    <w:rsid w:val="002C39E9"/>
    <w:rsid w:val="002C74C1"/>
    <w:rsid w:val="002D20E6"/>
    <w:rsid w:val="002D36D1"/>
    <w:rsid w:val="002D40FC"/>
    <w:rsid w:val="002D5809"/>
    <w:rsid w:val="002D6493"/>
    <w:rsid w:val="002D6CFB"/>
    <w:rsid w:val="002E1090"/>
    <w:rsid w:val="002E128D"/>
    <w:rsid w:val="002E2152"/>
    <w:rsid w:val="002E5E83"/>
    <w:rsid w:val="002E76A6"/>
    <w:rsid w:val="002E7928"/>
    <w:rsid w:val="002F56FE"/>
    <w:rsid w:val="002F6C07"/>
    <w:rsid w:val="002F7CD6"/>
    <w:rsid w:val="00301D7F"/>
    <w:rsid w:val="00314C36"/>
    <w:rsid w:val="00316E1C"/>
    <w:rsid w:val="00331CEE"/>
    <w:rsid w:val="00333F9E"/>
    <w:rsid w:val="00334DAF"/>
    <w:rsid w:val="003353E2"/>
    <w:rsid w:val="0034066F"/>
    <w:rsid w:val="0034081C"/>
    <w:rsid w:val="003413F9"/>
    <w:rsid w:val="00346363"/>
    <w:rsid w:val="0035420F"/>
    <w:rsid w:val="00355986"/>
    <w:rsid w:val="00361288"/>
    <w:rsid w:val="00361C42"/>
    <w:rsid w:val="003622FA"/>
    <w:rsid w:val="00363297"/>
    <w:rsid w:val="00364853"/>
    <w:rsid w:val="003712EE"/>
    <w:rsid w:val="0037540B"/>
    <w:rsid w:val="00376812"/>
    <w:rsid w:val="00380A28"/>
    <w:rsid w:val="003823CB"/>
    <w:rsid w:val="00382D8D"/>
    <w:rsid w:val="00384178"/>
    <w:rsid w:val="00385A93"/>
    <w:rsid w:val="00387174"/>
    <w:rsid w:val="003902D6"/>
    <w:rsid w:val="0039136D"/>
    <w:rsid w:val="0039240B"/>
    <w:rsid w:val="003A00CE"/>
    <w:rsid w:val="003A2B37"/>
    <w:rsid w:val="003A7B62"/>
    <w:rsid w:val="003B4AE9"/>
    <w:rsid w:val="003B5BD4"/>
    <w:rsid w:val="003B677E"/>
    <w:rsid w:val="003B7B34"/>
    <w:rsid w:val="003C0281"/>
    <w:rsid w:val="003C0764"/>
    <w:rsid w:val="003C4F3C"/>
    <w:rsid w:val="003D352E"/>
    <w:rsid w:val="003D44B2"/>
    <w:rsid w:val="003D711A"/>
    <w:rsid w:val="003D7B47"/>
    <w:rsid w:val="003E0FC0"/>
    <w:rsid w:val="003E12FD"/>
    <w:rsid w:val="003F56E7"/>
    <w:rsid w:val="003F68D4"/>
    <w:rsid w:val="0040251A"/>
    <w:rsid w:val="00410F28"/>
    <w:rsid w:val="00411333"/>
    <w:rsid w:val="00416737"/>
    <w:rsid w:val="004216B2"/>
    <w:rsid w:val="00421CD8"/>
    <w:rsid w:val="00427D04"/>
    <w:rsid w:val="00430F18"/>
    <w:rsid w:val="004312EB"/>
    <w:rsid w:val="00431A51"/>
    <w:rsid w:val="0043356D"/>
    <w:rsid w:val="00433BE5"/>
    <w:rsid w:val="0044225C"/>
    <w:rsid w:val="004472BE"/>
    <w:rsid w:val="00452548"/>
    <w:rsid w:val="00457EA6"/>
    <w:rsid w:val="00465841"/>
    <w:rsid w:val="00471017"/>
    <w:rsid w:val="00471887"/>
    <w:rsid w:val="00482977"/>
    <w:rsid w:val="00485262"/>
    <w:rsid w:val="00487851"/>
    <w:rsid w:val="004901FD"/>
    <w:rsid w:val="004A31A0"/>
    <w:rsid w:val="004A5C52"/>
    <w:rsid w:val="004B1469"/>
    <w:rsid w:val="004B4AB3"/>
    <w:rsid w:val="004B7FB1"/>
    <w:rsid w:val="004C01ED"/>
    <w:rsid w:val="004C04DE"/>
    <w:rsid w:val="004C1DF9"/>
    <w:rsid w:val="004C2A9E"/>
    <w:rsid w:val="004C64AC"/>
    <w:rsid w:val="004C76B9"/>
    <w:rsid w:val="004D586C"/>
    <w:rsid w:val="004D7958"/>
    <w:rsid w:val="004E0171"/>
    <w:rsid w:val="004E16AD"/>
    <w:rsid w:val="004E35DA"/>
    <w:rsid w:val="004E5C84"/>
    <w:rsid w:val="004F3C25"/>
    <w:rsid w:val="004F438A"/>
    <w:rsid w:val="004F47AD"/>
    <w:rsid w:val="004F49EE"/>
    <w:rsid w:val="004F6F49"/>
    <w:rsid w:val="00504971"/>
    <w:rsid w:val="00510297"/>
    <w:rsid w:val="005114BF"/>
    <w:rsid w:val="005123C9"/>
    <w:rsid w:val="005155E0"/>
    <w:rsid w:val="00520EBE"/>
    <w:rsid w:val="00523A4D"/>
    <w:rsid w:val="005248BA"/>
    <w:rsid w:val="005256FC"/>
    <w:rsid w:val="005332CB"/>
    <w:rsid w:val="0053336C"/>
    <w:rsid w:val="00534FCD"/>
    <w:rsid w:val="00536167"/>
    <w:rsid w:val="00540CF0"/>
    <w:rsid w:val="0054355E"/>
    <w:rsid w:val="005449D5"/>
    <w:rsid w:val="00547D91"/>
    <w:rsid w:val="00551DED"/>
    <w:rsid w:val="005549A4"/>
    <w:rsid w:val="00560880"/>
    <w:rsid w:val="005639A4"/>
    <w:rsid w:val="00564EEB"/>
    <w:rsid w:val="00566F36"/>
    <w:rsid w:val="0057015B"/>
    <w:rsid w:val="00572686"/>
    <w:rsid w:val="00574EED"/>
    <w:rsid w:val="005952B6"/>
    <w:rsid w:val="005B10CF"/>
    <w:rsid w:val="005B66A6"/>
    <w:rsid w:val="005B6DBE"/>
    <w:rsid w:val="005C20AE"/>
    <w:rsid w:val="005C51DB"/>
    <w:rsid w:val="005C53BA"/>
    <w:rsid w:val="005C6272"/>
    <w:rsid w:val="005C7659"/>
    <w:rsid w:val="005D0033"/>
    <w:rsid w:val="005D0464"/>
    <w:rsid w:val="005D5F99"/>
    <w:rsid w:val="005D7971"/>
    <w:rsid w:val="005E4165"/>
    <w:rsid w:val="005F16B6"/>
    <w:rsid w:val="005F40D5"/>
    <w:rsid w:val="005F56DE"/>
    <w:rsid w:val="00603BAF"/>
    <w:rsid w:val="006127B1"/>
    <w:rsid w:val="00612998"/>
    <w:rsid w:val="00617785"/>
    <w:rsid w:val="00620E5C"/>
    <w:rsid w:val="00622992"/>
    <w:rsid w:val="00624173"/>
    <w:rsid w:val="006244CB"/>
    <w:rsid w:val="00624EB2"/>
    <w:rsid w:val="00631AA6"/>
    <w:rsid w:val="00631D0E"/>
    <w:rsid w:val="00634F65"/>
    <w:rsid w:val="0063541F"/>
    <w:rsid w:val="00635EC4"/>
    <w:rsid w:val="00637EF5"/>
    <w:rsid w:val="00646BDD"/>
    <w:rsid w:val="00650965"/>
    <w:rsid w:val="00652ACD"/>
    <w:rsid w:val="00653312"/>
    <w:rsid w:val="00655B58"/>
    <w:rsid w:val="00657150"/>
    <w:rsid w:val="00661C1F"/>
    <w:rsid w:val="00666E1E"/>
    <w:rsid w:val="006674BF"/>
    <w:rsid w:val="00670E14"/>
    <w:rsid w:val="00673618"/>
    <w:rsid w:val="00675F9B"/>
    <w:rsid w:val="00677205"/>
    <w:rsid w:val="00681B65"/>
    <w:rsid w:val="006853A0"/>
    <w:rsid w:val="006933C0"/>
    <w:rsid w:val="00693629"/>
    <w:rsid w:val="00693B15"/>
    <w:rsid w:val="006952C5"/>
    <w:rsid w:val="00696849"/>
    <w:rsid w:val="006A54A8"/>
    <w:rsid w:val="006B0ACF"/>
    <w:rsid w:val="006B11C9"/>
    <w:rsid w:val="006B2D1D"/>
    <w:rsid w:val="006B68DA"/>
    <w:rsid w:val="006B71FF"/>
    <w:rsid w:val="006C60AA"/>
    <w:rsid w:val="006C6855"/>
    <w:rsid w:val="006C7D44"/>
    <w:rsid w:val="006D4326"/>
    <w:rsid w:val="006D4FC7"/>
    <w:rsid w:val="006D55FD"/>
    <w:rsid w:val="006E1F72"/>
    <w:rsid w:val="006E2251"/>
    <w:rsid w:val="006E7B42"/>
    <w:rsid w:val="006E7D30"/>
    <w:rsid w:val="006F0C8B"/>
    <w:rsid w:val="006F1D8D"/>
    <w:rsid w:val="006F5BE7"/>
    <w:rsid w:val="006F61E6"/>
    <w:rsid w:val="006F7A3F"/>
    <w:rsid w:val="006F7EFA"/>
    <w:rsid w:val="00710A62"/>
    <w:rsid w:val="00715D6C"/>
    <w:rsid w:val="00721CB6"/>
    <w:rsid w:val="00723C6F"/>
    <w:rsid w:val="00732D7C"/>
    <w:rsid w:val="00737FE2"/>
    <w:rsid w:val="00741126"/>
    <w:rsid w:val="007427C7"/>
    <w:rsid w:val="007475D1"/>
    <w:rsid w:val="00753D6C"/>
    <w:rsid w:val="0075481B"/>
    <w:rsid w:val="007567C8"/>
    <w:rsid w:val="00756A48"/>
    <w:rsid w:val="00756D1F"/>
    <w:rsid w:val="00760BF7"/>
    <w:rsid w:val="00762389"/>
    <w:rsid w:val="00762F12"/>
    <w:rsid w:val="00762FD0"/>
    <w:rsid w:val="007631C7"/>
    <w:rsid w:val="007636FD"/>
    <w:rsid w:val="00764D36"/>
    <w:rsid w:val="00765828"/>
    <w:rsid w:val="007670C7"/>
    <w:rsid w:val="00770464"/>
    <w:rsid w:val="00774002"/>
    <w:rsid w:val="007752FB"/>
    <w:rsid w:val="007768F5"/>
    <w:rsid w:val="00781217"/>
    <w:rsid w:val="00782D77"/>
    <w:rsid w:val="00782F12"/>
    <w:rsid w:val="007845D8"/>
    <w:rsid w:val="00785030"/>
    <w:rsid w:val="00794A55"/>
    <w:rsid w:val="007958D6"/>
    <w:rsid w:val="00797B76"/>
    <w:rsid w:val="007A32EF"/>
    <w:rsid w:val="007A345F"/>
    <w:rsid w:val="007A68E8"/>
    <w:rsid w:val="007B09EC"/>
    <w:rsid w:val="007B43F0"/>
    <w:rsid w:val="007B5DBF"/>
    <w:rsid w:val="007C5D18"/>
    <w:rsid w:val="007C6C15"/>
    <w:rsid w:val="007D05D6"/>
    <w:rsid w:val="007D11D3"/>
    <w:rsid w:val="007D208D"/>
    <w:rsid w:val="007D429F"/>
    <w:rsid w:val="007D56AE"/>
    <w:rsid w:val="007D6AB8"/>
    <w:rsid w:val="007E08CF"/>
    <w:rsid w:val="007E09AC"/>
    <w:rsid w:val="007E161E"/>
    <w:rsid w:val="007E2DF3"/>
    <w:rsid w:val="007E3484"/>
    <w:rsid w:val="007E6CCF"/>
    <w:rsid w:val="007E71F0"/>
    <w:rsid w:val="007F11FE"/>
    <w:rsid w:val="007F1AD7"/>
    <w:rsid w:val="0080093E"/>
    <w:rsid w:val="00800D17"/>
    <w:rsid w:val="00800E8F"/>
    <w:rsid w:val="0080137D"/>
    <w:rsid w:val="008107E4"/>
    <w:rsid w:val="00812436"/>
    <w:rsid w:val="00812CDE"/>
    <w:rsid w:val="00814057"/>
    <w:rsid w:val="00814993"/>
    <w:rsid w:val="008149BF"/>
    <w:rsid w:val="00820493"/>
    <w:rsid w:val="00821154"/>
    <w:rsid w:val="0082798C"/>
    <w:rsid w:val="00835F44"/>
    <w:rsid w:val="00841C34"/>
    <w:rsid w:val="008572CB"/>
    <w:rsid w:val="008578CA"/>
    <w:rsid w:val="00861F88"/>
    <w:rsid w:val="00863438"/>
    <w:rsid w:val="00864305"/>
    <w:rsid w:val="008669E9"/>
    <w:rsid w:val="008676E0"/>
    <w:rsid w:val="008759D5"/>
    <w:rsid w:val="00877FA1"/>
    <w:rsid w:val="00880B9F"/>
    <w:rsid w:val="0088298D"/>
    <w:rsid w:val="00882B04"/>
    <w:rsid w:val="00882BC7"/>
    <w:rsid w:val="00884C3F"/>
    <w:rsid w:val="008866B2"/>
    <w:rsid w:val="0089202B"/>
    <w:rsid w:val="0089413F"/>
    <w:rsid w:val="00894801"/>
    <w:rsid w:val="00896D29"/>
    <w:rsid w:val="008A0054"/>
    <w:rsid w:val="008A139A"/>
    <w:rsid w:val="008A5BA9"/>
    <w:rsid w:val="008C2520"/>
    <w:rsid w:val="008C36CC"/>
    <w:rsid w:val="008C4647"/>
    <w:rsid w:val="008D3B52"/>
    <w:rsid w:val="008D43F8"/>
    <w:rsid w:val="008D739E"/>
    <w:rsid w:val="008D77DA"/>
    <w:rsid w:val="008F0BD6"/>
    <w:rsid w:val="008F14B7"/>
    <w:rsid w:val="008F3221"/>
    <w:rsid w:val="00901422"/>
    <w:rsid w:val="00901D0F"/>
    <w:rsid w:val="00902177"/>
    <w:rsid w:val="00902400"/>
    <w:rsid w:val="009044C1"/>
    <w:rsid w:val="00904DC6"/>
    <w:rsid w:val="00905BA3"/>
    <w:rsid w:val="0090623E"/>
    <w:rsid w:val="009151D0"/>
    <w:rsid w:val="0092017B"/>
    <w:rsid w:val="00920B67"/>
    <w:rsid w:val="00927A64"/>
    <w:rsid w:val="00930EB6"/>
    <w:rsid w:val="0093263D"/>
    <w:rsid w:val="0093734E"/>
    <w:rsid w:val="009457D5"/>
    <w:rsid w:val="00945C41"/>
    <w:rsid w:val="00950B37"/>
    <w:rsid w:val="00961368"/>
    <w:rsid w:val="009633EA"/>
    <w:rsid w:val="00964A5A"/>
    <w:rsid w:val="009653DD"/>
    <w:rsid w:val="009748F3"/>
    <w:rsid w:val="009755FD"/>
    <w:rsid w:val="00984506"/>
    <w:rsid w:val="00997DFF"/>
    <w:rsid w:val="009A3F9C"/>
    <w:rsid w:val="009A5D0C"/>
    <w:rsid w:val="009A7DB8"/>
    <w:rsid w:val="009C689D"/>
    <w:rsid w:val="009C7BF3"/>
    <w:rsid w:val="009D5482"/>
    <w:rsid w:val="009E18E3"/>
    <w:rsid w:val="009E21C1"/>
    <w:rsid w:val="009E3B91"/>
    <w:rsid w:val="009E6ACF"/>
    <w:rsid w:val="009F3BAB"/>
    <w:rsid w:val="009F54FE"/>
    <w:rsid w:val="009F671F"/>
    <w:rsid w:val="00A21263"/>
    <w:rsid w:val="00A21C61"/>
    <w:rsid w:val="00A22DEE"/>
    <w:rsid w:val="00A3054D"/>
    <w:rsid w:val="00A31147"/>
    <w:rsid w:val="00A34AEE"/>
    <w:rsid w:val="00A375E6"/>
    <w:rsid w:val="00A4031E"/>
    <w:rsid w:val="00A41466"/>
    <w:rsid w:val="00A43080"/>
    <w:rsid w:val="00A57CC5"/>
    <w:rsid w:val="00A63187"/>
    <w:rsid w:val="00A6321B"/>
    <w:rsid w:val="00A654B1"/>
    <w:rsid w:val="00A65A04"/>
    <w:rsid w:val="00A65B99"/>
    <w:rsid w:val="00A7413D"/>
    <w:rsid w:val="00A76224"/>
    <w:rsid w:val="00A84E6C"/>
    <w:rsid w:val="00A860DC"/>
    <w:rsid w:val="00A86E0D"/>
    <w:rsid w:val="00A90679"/>
    <w:rsid w:val="00A91B2F"/>
    <w:rsid w:val="00A94B46"/>
    <w:rsid w:val="00A974B7"/>
    <w:rsid w:val="00AA49E0"/>
    <w:rsid w:val="00AB200A"/>
    <w:rsid w:val="00AB296C"/>
    <w:rsid w:val="00AB2E3A"/>
    <w:rsid w:val="00AB309E"/>
    <w:rsid w:val="00AB71F6"/>
    <w:rsid w:val="00AB74FB"/>
    <w:rsid w:val="00AB76FA"/>
    <w:rsid w:val="00AC1848"/>
    <w:rsid w:val="00AC26A2"/>
    <w:rsid w:val="00AC38B0"/>
    <w:rsid w:val="00AC4684"/>
    <w:rsid w:val="00AC4A17"/>
    <w:rsid w:val="00AE0058"/>
    <w:rsid w:val="00AE1614"/>
    <w:rsid w:val="00AF76B3"/>
    <w:rsid w:val="00B0017A"/>
    <w:rsid w:val="00B0040B"/>
    <w:rsid w:val="00B00A75"/>
    <w:rsid w:val="00B014C8"/>
    <w:rsid w:val="00B01A43"/>
    <w:rsid w:val="00B03A2C"/>
    <w:rsid w:val="00B04AFC"/>
    <w:rsid w:val="00B1422A"/>
    <w:rsid w:val="00B1509B"/>
    <w:rsid w:val="00B245C8"/>
    <w:rsid w:val="00B250C0"/>
    <w:rsid w:val="00B2590A"/>
    <w:rsid w:val="00B26748"/>
    <w:rsid w:val="00B33125"/>
    <w:rsid w:val="00B36B72"/>
    <w:rsid w:val="00B43CC7"/>
    <w:rsid w:val="00B45785"/>
    <w:rsid w:val="00B45972"/>
    <w:rsid w:val="00B554A3"/>
    <w:rsid w:val="00B55C76"/>
    <w:rsid w:val="00B62C13"/>
    <w:rsid w:val="00B65BBD"/>
    <w:rsid w:val="00B67044"/>
    <w:rsid w:val="00B760D7"/>
    <w:rsid w:val="00B76BE6"/>
    <w:rsid w:val="00B77285"/>
    <w:rsid w:val="00B819CE"/>
    <w:rsid w:val="00B879CD"/>
    <w:rsid w:val="00B92507"/>
    <w:rsid w:val="00B92B71"/>
    <w:rsid w:val="00B92E27"/>
    <w:rsid w:val="00B92E83"/>
    <w:rsid w:val="00B97832"/>
    <w:rsid w:val="00BB1511"/>
    <w:rsid w:val="00BB1B7D"/>
    <w:rsid w:val="00BB1DBD"/>
    <w:rsid w:val="00BB1F45"/>
    <w:rsid w:val="00BB23EA"/>
    <w:rsid w:val="00BB393E"/>
    <w:rsid w:val="00BB4003"/>
    <w:rsid w:val="00BC47DA"/>
    <w:rsid w:val="00BC5010"/>
    <w:rsid w:val="00BC7D79"/>
    <w:rsid w:val="00BD0FB9"/>
    <w:rsid w:val="00BD6E4F"/>
    <w:rsid w:val="00BD7F3F"/>
    <w:rsid w:val="00BE10CB"/>
    <w:rsid w:val="00BE20F2"/>
    <w:rsid w:val="00BE3A5E"/>
    <w:rsid w:val="00BE6209"/>
    <w:rsid w:val="00BF28A3"/>
    <w:rsid w:val="00BF6ACE"/>
    <w:rsid w:val="00BF6CDB"/>
    <w:rsid w:val="00C02CDA"/>
    <w:rsid w:val="00C05AC8"/>
    <w:rsid w:val="00C07046"/>
    <w:rsid w:val="00C07260"/>
    <w:rsid w:val="00C10B0E"/>
    <w:rsid w:val="00C10FCB"/>
    <w:rsid w:val="00C1199A"/>
    <w:rsid w:val="00C12736"/>
    <w:rsid w:val="00C2072F"/>
    <w:rsid w:val="00C30C6C"/>
    <w:rsid w:val="00C45C51"/>
    <w:rsid w:val="00C60180"/>
    <w:rsid w:val="00C62A32"/>
    <w:rsid w:val="00C62D1E"/>
    <w:rsid w:val="00C74E33"/>
    <w:rsid w:val="00C81653"/>
    <w:rsid w:val="00C82E26"/>
    <w:rsid w:val="00C85313"/>
    <w:rsid w:val="00C87FC4"/>
    <w:rsid w:val="00C94CB6"/>
    <w:rsid w:val="00C95C70"/>
    <w:rsid w:val="00C964DA"/>
    <w:rsid w:val="00CB1125"/>
    <w:rsid w:val="00CB6853"/>
    <w:rsid w:val="00CB77D5"/>
    <w:rsid w:val="00CC0882"/>
    <w:rsid w:val="00CC3A71"/>
    <w:rsid w:val="00CC4468"/>
    <w:rsid w:val="00CC4B3E"/>
    <w:rsid w:val="00CC7172"/>
    <w:rsid w:val="00CD04E6"/>
    <w:rsid w:val="00CD1267"/>
    <w:rsid w:val="00CD6241"/>
    <w:rsid w:val="00CE0E93"/>
    <w:rsid w:val="00CE1636"/>
    <w:rsid w:val="00CE5623"/>
    <w:rsid w:val="00CF3737"/>
    <w:rsid w:val="00D14C7C"/>
    <w:rsid w:val="00D17775"/>
    <w:rsid w:val="00D27D2B"/>
    <w:rsid w:val="00D30D22"/>
    <w:rsid w:val="00D4234B"/>
    <w:rsid w:val="00D4626F"/>
    <w:rsid w:val="00D46324"/>
    <w:rsid w:val="00D46C1C"/>
    <w:rsid w:val="00D5376D"/>
    <w:rsid w:val="00D56B50"/>
    <w:rsid w:val="00D57A55"/>
    <w:rsid w:val="00D60DD1"/>
    <w:rsid w:val="00D610A1"/>
    <w:rsid w:val="00D61EDF"/>
    <w:rsid w:val="00D650D9"/>
    <w:rsid w:val="00D73812"/>
    <w:rsid w:val="00D74C95"/>
    <w:rsid w:val="00D75A6C"/>
    <w:rsid w:val="00D80854"/>
    <w:rsid w:val="00D81411"/>
    <w:rsid w:val="00D90D13"/>
    <w:rsid w:val="00DA3A93"/>
    <w:rsid w:val="00DA7996"/>
    <w:rsid w:val="00DB4F3A"/>
    <w:rsid w:val="00DB51FB"/>
    <w:rsid w:val="00DB6847"/>
    <w:rsid w:val="00DC0774"/>
    <w:rsid w:val="00DC5671"/>
    <w:rsid w:val="00DC627E"/>
    <w:rsid w:val="00DC62D9"/>
    <w:rsid w:val="00DC6487"/>
    <w:rsid w:val="00DC7922"/>
    <w:rsid w:val="00DD2926"/>
    <w:rsid w:val="00DD4B50"/>
    <w:rsid w:val="00DD567E"/>
    <w:rsid w:val="00DD5E4F"/>
    <w:rsid w:val="00DD7869"/>
    <w:rsid w:val="00DE0133"/>
    <w:rsid w:val="00DE024B"/>
    <w:rsid w:val="00DE1D32"/>
    <w:rsid w:val="00DE4C3F"/>
    <w:rsid w:val="00DF338A"/>
    <w:rsid w:val="00DF548E"/>
    <w:rsid w:val="00DF72C2"/>
    <w:rsid w:val="00E02F43"/>
    <w:rsid w:val="00E05BAE"/>
    <w:rsid w:val="00E114CF"/>
    <w:rsid w:val="00E16869"/>
    <w:rsid w:val="00E16998"/>
    <w:rsid w:val="00E23D75"/>
    <w:rsid w:val="00E24687"/>
    <w:rsid w:val="00E31020"/>
    <w:rsid w:val="00E32923"/>
    <w:rsid w:val="00E35980"/>
    <w:rsid w:val="00E36131"/>
    <w:rsid w:val="00E40573"/>
    <w:rsid w:val="00E4070D"/>
    <w:rsid w:val="00E41EF6"/>
    <w:rsid w:val="00E52112"/>
    <w:rsid w:val="00E52C85"/>
    <w:rsid w:val="00E74405"/>
    <w:rsid w:val="00E779C7"/>
    <w:rsid w:val="00E82BA3"/>
    <w:rsid w:val="00E91517"/>
    <w:rsid w:val="00E92001"/>
    <w:rsid w:val="00E94C53"/>
    <w:rsid w:val="00EA07D1"/>
    <w:rsid w:val="00EA13E2"/>
    <w:rsid w:val="00EA173A"/>
    <w:rsid w:val="00EA2F3F"/>
    <w:rsid w:val="00EA345A"/>
    <w:rsid w:val="00EB5BEF"/>
    <w:rsid w:val="00EC05D9"/>
    <w:rsid w:val="00EC1492"/>
    <w:rsid w:val="00EC1C3E"/>
    <w:rsid w:val="00EC4D91"/>
    <w:rsid w:val="00ED02A4"/>
    <w:rsid w:val="00ED3BB9"/>
    <w:rsid w:val="00ED45A0"/>
    <w:rsid w:val="00ED53F6"/>
    <w:rsid w:val="00ED7574"/>
    <w:rsid w:val="00EE60FD"/>
    <w:rsid w:val="00EF2BB4"/>
    <w:rsid w:val="00EF41CA"/>
    <w:rsid w:val="00F02EB4"/>
    <w:rsid w:val="00F04EEC"/>
    <w:rsid w:val="00F063F3"/>
    <w:rsid w:val="00F144A1"/>
    <w:rsid w:val="00F15770"/>
    <w:rsid w:val="00F176DA"/>
    <w:rsid w:val="00F20416"/>
    <w:rsid w:val="00F21BA1"/>
    <w:rsid w:val="00F237C1"/>
    <w:rsid w:val="00F24C59"/>
    <w:rsid w:val="00F257EE"/>
    <w:rsid w:val="00F26554"/>
    <w:rsid w:val="00F3097A"/>
    <w:rsid w:val="00F33D6C"/>
    <w:rsid w:val="00F40F3B"/>
    <w:rsid w:val="00F412F6"/>
    <w:rsid w:val="00F42743"/>
    <w:rsid w:val="00F51740"/>
    <w:rsid w:val="00F51F30"/>
    <w:rsid w:val="00F523E7"/>
    <w:rsid w:val="00F52871"/>
    <w:rsid w:val="00F5320C"/>
    <w:rsid w:val="00F56CBB"/>
    <w:rsid w:val="00F57C95"/>
    <w:rsid w:val="00F606D3"/>
    <w:rsid w:val="00F61ACB"/>
    <w:rsid w:val="00F61B30"/>
    <w:rsid w:val="00F63BA1"/>
    <w:rsid w:val="00F640F7"/>
    <w:rsid w:val="00F6654E"/>
    <w:rsid w:val="00F66E67"/>
    <w:rsid w:val="00F707FF"/>
    <w:rsid w:val="00F71B96"/>
    <w:rsid w:val="00F73033"/>
    <w:rsid w:val="00F77586"/>
    <w:rsid w:val="00F813BB"/>
    <w:rsid w:val="00F85DC1"/>
    <w:rsid w:val="00F8684B"/>
    <w:rsid w:val="00FA0BD4"/>
    <w:rsid w:val="00FA3E8E"/>
    <w:rsid w:val="00FA5420"/>
    <w:rsid w:val="00FB12A6"/>
    <w:rsid w:val="00FB574E"/>
    <w:rsid w:val="00FC03FD"/>
    <w:rsid w:val="00FC40FE"/>
    <w:rsid w:val="00FC468E"/>
    <w:rsid w:val="00FD028C"/>
    <w:rsid w:val="00FE0273"/>
    <w:rsid w:val="00FE1445"/>
    <w:rsid w:val="00FF7941"/>
    <w:rsid w:val="04856BA7"/>
    <w:rsid w:val="0C4F6E5A"/>
    <w:rsid w:val="19FB17CB"/>
    <w:rsid w:val="1B4E0050"/>
    <w:rsid w:val="2C971FB6"/>
    <w:rsid w:val="2F211654"/>
    <w:rsid w:val="347A30AA"/>
    <w:rsid w:val="34C4075D"/>
    <w:rsid w:val="43396107"/>
    <w:rsid w:val="46CF1256"/>
    <w:rsid w:val="52243289"/>
    <w:rsid w:val="57D67571"/>
    <w:rsid w:val="5A3D2566"/>
    <w:rsid w:val="6C543A55"/>
    <w:rsid w:val="76973BF3"/>
    <w:rsid w:val="783D7DC9"/>
    <w:rsid w:val="7A662E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9"/>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67"/>
    <w:qFormat/>
    <w:uiPriority w:val="0"/>
    <w:pPr>
      <w:outlineLvl w:val="2"/>
    </w:pPr>
    <w:rPr>
      <w:rFonts w:ascii="Times New Roman" w:hAnsi="Times New Roman" w:eastAsia="仿宋_GB2312" w:cs="Times New Roman"/>
      <w:sz w:val="32"/>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qFormat/>
    <w:uiPriority w:val="0"/>
    <w:pPr>
      <w:ind w:left="1680"/>
    </w:pPr>
    <w:rPr>
      <w:rFonts w:ascii="Calibri" w:hAnsi="Calibri" w:eastAsia="宋体" w:cs="Times New Roman"/>
      <w:szCs w:val="24"/>
    </w:rPr>
  </w:style>
  <w:style w:type="paragraph" w:styleId="5">
    <w:name w:val="Body Text"/>
    <w:basedOn w:val="1"/>
    <w:link w:val="66"/>
    <w:qFormat/>
    <w:uiPriority w:val="0"/>
    <w:pPr>
      <w:spacing w:after="120"/>
    </w:pPr>
    <w:rPr>
      <w:rFonts w:ascii="Times New Roman" w:hAnsi="Times New Roman" w:eastAsia="宋体" w:cs="Times New Roman"/>
      <w:sz w:val="28"/>
      <w:szCs w:val="28"/>
    </w:rPr>
  </w:style>
  <w:style w:type="paragraph" w:styleId="6">
    <w:name w:val="Body Text Indent"/>
    <w:basedOn w:val="1"/>
    <w:link w:val="36"/>
    <w:unhideWhenUsed/>
    <w:qFormat/>
    <w:uiPriority w:val="99"/>
    <w:pPr>
      <w:spacing w:after="120"/>
      <w:ind w:left="420" w:leftChars="200"/>
    </w:pPr>
  </w:style>
  <w:style w:type="paragraph" w:styleId="7">
    <w:name w:val="Date"/>
    <w:basedOn w:val="1"/>
    <w:next w:val="1"/>
    <w:link w:val="30"/>
    <w:semiHidden/>
    <w:unhideWhenUsed/>
    <w:qFormat/>
    <w:uiPriority w:val="99"/>
    <w:pPr>
      <w:ind w:left="100" w:leftChars="2500"/>
    </w:pPr>
  </w:style>
  <w:style w:type="paragraph" w:styleId="8">
    <w:name w:val="Body Text Indent 2"/>
    <w:basedOn w:val="1"/>
    <w:link w:val="34"/>
    <w:qFormat/>
    <w:uiPriority w:val="0"/>
    <w:pPr>
      <w:ind w:firstLine="570"/>
    </w:pPr>
    <w:rPr>
      <w:rFonts w:ascii="Times New Roman" w:hAnsi="Times New Roman" w:eastAsia="宋体" w:cs="Times New Roman"/>
      <w:sz w:val="28"/>
      <w:szCs w:val="24"/>
    </w:rPr>
  </w:style>
  <w:style w:type="paragraph" w:styleId="9">
    <w:name w:val="Balloon Text"/>
    <w:basedOn w:val="1"/>
    <w:link w:val="31"/>
    <w:unhideWhenUsed/>
    <w:qFormat/>
    <w:uiPriority w:val="0"/>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Times New Roman" w:hAnsi="Times New Roman" w:eastAsia="宋体" w:cs="Times New Roman"/>
      <w:sz w:val="28"/>
      <w:szCs w:val="28"/>
    </w:rPr>
  </w:style>
  <w:style w:type="paragraph" w:styleId="13">
    <w:name w:val="toc 2"/>
    <w:basedOn w:val="1"/>
    <w:next w:val="1"/>
    <w:qFormat/>
    <w:uiPriority w:val="0"/>
    <w:pPr>
      <w:ind w:left="420" w:leftChars="200"/>
    </w:pPr>
    <w:rPr>
      <w:rFonts w:ascii="Times New Roman" w:hAnsi="Times New Roman" w:eastAsia="宋体" w:cs="Times New Roman"/>
      <w:sz w:val="28"/>
      <w:szCs w:val="28"/>
    </w:r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41"/>
    <w:qFormat/>
    <w:uiPriority w:val="10"/>
    <w:pPr>
      <w:spacing w:before="240" w:after="60"/>
      <w:jc w:val="center"/>
      <w:outlineLvl w:val="0"/>
    </w:pPr>
    <w:rPr>
      <w:rFonts w:ascii="Cambria" w:hAnsi="Cambria" w:eastAsia="宋体" w:cs="Times New Roman"/>
      <w:b/>
      <w:bCs/>
      <w:sz w:val="32"/>
      <w:szCs w:val="32"/>
    </w:rPr>
  </w:style>
  <w:style w:type="paragraph" w:styleId="16">
    <w:name w:val="Body Text First Indent 2"/>
    <w:basedOn w:val="6"/>
    <w:link w:val="37"/>
    <w:semiHidden/>
    <w:unhideWhenUsed/>
    <w:uiPriority w:val="99"/>
    <w:pPr>
      <w:ind w:firstLine="420" w:firstLineChars="200"/>
    </w:pPr>
  </w:style>
  <w:style w:type="table" w:styleId="18">
    <w:name w:val="Table Grid"/>
    <w:basedOn w:val="17"/>
    <w:qFormat/>
    <w:uiPriority w:val="99"/>
    <w:rPr>
      <w:rFonts w:ascii="Times New Roman" w:hAnsi="Times New Roman" w:eastAsia="宋体" w:cs="Times New Roman"/>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FollowedHyperlink"/>
    <w:qFormat/>
    <w:uiPriority w:val="0"/>
    <w:rPr>
      <w:color w:val="800080"/>
      <w:u w:val="none"/>
    </w:rPr>
  </w:style>
  <w:style w:type="character" w:styleId="22">
    <w:name w:val="HTML Definition"/>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ascii="Courier New" w:hAnsi="Courier New"/>
      <w:sz w:val="20"/>
    </w:rPr>
  </w:style>
  <w:style w:type="character" w:styleId="26">
    <w:name w:val="HTML Cite"/>
    <w:qFormat/>
    <w:uiPriority w:val="0"/>
  </w:style>
  <w:style w:type="character" w:customStyle="1" w:styleId="27">
    <w:name w:val="页眉 Char"/>
    <w:basedOn w:val="19"/>
    <w:link w:val="11"/>
    <w:qFormat/>
    <w:uiPriority w:val="99"/>
    <w:rPr>
      <w:sz w:val="18"/>
      <w:szCs w:val="18"/>
    </w:rPr>
  </w:style>
  <w:style w:type="character" w:customStyle="1" w:styleId="28">
    <w:name w:val="页脚 Char"/>
    <w:basedOn w:val="19"/>
    <w:link w:val="10"/>
    <w:qFormat/>
    <w:uiPriority w:val="99"/>
    <w:rPr>
      <w:sz w:val="18"/>
      <w:szCs w:val="18"/>
    </w:rPr>
  </w:style>
  <w:style w:type="paragraph" w:styleId="29">
    <w:name w:val="List Paragraph"/>
    <w:basedOn w:val="1"/>
    <w:qFormat/>
    <w:uiPriority w:val="99"/>
    <w:pPr>
      <w:ind w:firstLine="420" w:firstLineChars="200"/>
    </w:pPr>
  </w:style>
  <w:style w:type="character" w:customStyle="1" w:styleId="30">
    <w:name w:val="日期 Char"/>
    <w:basedOn w:val="19"/>
    <w:link w:val="7"/>
    <w:semiHidden/>
    <w:qFormat/>
    <w:uiPriority w:val="99"/>
    <w:rPr>
      <w:kern w:val="2"/>
      <w:sz w:val="21"/>
      <w:szCs w:val="22"/>
    </w:rPr>
  </w:style>
  <w:style w:type="character" w:customStyle="1" w:styleId="31">
    <w:name w:val="批注框文本 Char"/>
    <w:basedOn w:val="19"/>
    <w:link w:val="9"/>
    <w:semiHidden/>
    <w:qFormat/>
    <w:uiPriority w:val="99"/>
    <w:rPr>
      <w:kern w:val="2"/>
      <w:sz w:val="18"/>
      <w:szCs w:val="18"/>
    </w:rPr>
  </w:style>
  <w:style w:type="paragraph" w:customStyle="1" w:styleId="32">
    <w:name w:val="我的正文"/>
    <w:basedOn w:val="1"/>
    <w:link w:val="33"/>
    <w:qFormat/>
    <w:uiPriority w:val="0"/>
    <w:pPr>
      <w:adjustRightInd w:val="0"/>
      <w:snapToGrid w:val="0"/>
      <w:spacing w:line="560" w:lineRule="exact"/>
      <w:ind w:firstLine="420" w:firstLineChars="200"/>
    </w:pPr>
    <w:rPr>
      <w:rFonts w:ascii="仿宋_GB2312" w:hAnsi="仿宋_GB2312" w:eastAsia="仿宋_GB2312"/>
      <w:sz w:val="32"/>
      <w:szCs w:val="24"/>
    </w:rPr>
  </w:style>
  <w:style w:type="character" w:customStyle="1" w:styleId="33">
    <w:name w:val="我的正文 Char"/>
    <w:link w:val="32"/>
    <w:qFormat/>
    <w:uiPriority w:val="0"/>
    <w:rPr>
      <w:rFonts w:ascii="仿宋_GB2312" w:hAnsi="仿宋_GB2312" w:eastAsia="仿宋_GB2312"/>
      <w:kern w:val="2"/>
      <w:sz w:val="32"/>
      <w:szCs w:val="24"/>
    </w:rPr>
  </w:style>
  <w:style w:type="character" w:customStyle="1" w:styleId="34">
    <w:name w:val="正文文本缩进 2 Char"/>
    <w:basedOn w:val="19"/>
    <w:link w:val="8"/>
    <w:qFormat/>
    <w:uiPriority w:val="0"/>
    <w:rPr>
      <w:rFonts w:ascii="Times New Roman" w:hAnsi="Times New Roman" w:eastAsia="宋体" w:cs="Times New Roman"/>
      <w:kern w:val="2"/>
      <w:sz w:val="28"/>
      <w:szCs w:val="24"/>
    </w:rPr>
  </w:style>
  <w:style w:type="character" w:customStyle="1" w:styleId="35">
    <w:name w:val="NormalCharacter"/>
    <w:semiHidden/>
    <w:uiPriority w:val="0"/>
  </w:style>
  <w:style w:type="character" w:customStyle="1" w:styleId="36">
    <w:name w:val="正文文本缩进 Char"/>
    <w:basedOn w:val="19"/>
    <w:link w:val="6"/>
    <w:semiHidden/>
    <w:qFormat/>
    <w:uiPriority w:val="99"/>
    <w:rPr>
      <w:kern w:val="2"/>
      <w:sz w:val="21"/>
      <w:szCs w:val="22"/>
    </w:rPr>
  </w:style>
  <w:style w:type="character" w:customStyle="1" w:styleId="37">
    <w:name w:val="正文首行缩进 2 Char"/>
    <w:basedOn w:val="36"/>
    <w:link w:val="16"/>
    <w:semiHidden/>
    <w:qFormat/>
    <w:uiPriority w:val="99"/>
    <w:rPr>
      <w:kern w:val="2"/>
      <w:sz w:val="21"/>
      <w:szCs w:val="22"/>
    </w:rPr>
  </w:style>
  <w:style w:type="character" w:customStyle="1" w:styleId="38">
    <w:name w:val="批注框文本 字符"/>
    <w:qFormat/>
    <w:uiPriority w:val="0"/>
    <w:rPr>
      <w:rFonts w:ascii="Calibri" w:hAnsi="Calibri"/>
      <w:kern w:val="2"/>
      <w:sz w:val="18"/>
      <w:szCs w:val="18"/>
    </w:rPr>
  </w:style>
  <w:style w:type="character" w:customStyle="1" w:styleId="39">
    <w:name w:val="页脚 字符"/>
    <w:uiPriority w:val="99"/>
    <w:rPr>
      <w:rFonts w:ascii="Calibri" w:hAnsi="Calibri"/>
      <w:kern w:val="2"/>
      <w:sz w:val="18"/>
      <w:szCs w:val="18"/>
    </w:rPr>
  </w:style>
  <w:style w:type="character" w:customStyle="1" w:styleId="40">
    <w:name w:val="页眉 字符"/>
    <w:uiPriority w:val="0"/>
    <w:rPr>
      <w:rFonts w:ascii="Calibri" w:hAnsi="Calibri"/>
      <w:kern w:val="2"/>
      <w:sz w:val="18"/>
      <w:szCs w:val="18"/>
    </w:rPr>
  </w:style>
  <w:style w:type="character" w:customStyle="1" w:styleId="41">
    <w:name w:val="标题 Char"/>
    <w:basedOn w:val="19"/>
    <w:link w:val="15"/>
    <w:uiPriority w:val="10"/>
    <w:rPr>
      <w:rFonts w:ascii="Cambria" w:hAnsi="Cambria" w:eastAsia="宋体" w:cs="Times New Roman"/>
      <w:b/>
      <w:bCs/>
      <w:kern w:val="2"/>
      <w:sz w:val="32"/>
      <w:szCs w:val="32"/>
    </w:rPr>
  </w:style>
  <w:style w:type="paragraph" w:customStyle="1" w:styleId="42">
    <w:name w:val="_Style 31"/>
    <w:basedOn w:val="1"/>
    <w:next w:val="29"/>
    <w:qFormat/>
    <w:uiPriority w:val="99"/>
    <w:pPr>
      <w:ind w:firstLine="420" w:firstLineChars="200"/>
    </w:pPr>
    <w:rPr>
      <w:rFonts w:ascii="Calibri" w:hAnsi="Calibri" w:eastAsia="宋体" w:cs="Times New Roman"/>
      <w:szCs w:val="24"/>
    </w:rPr>
  </w:style>
  <w:style w:type="character" w:customStyle="1" w:styleId="43">
    <w:name w:val="openeye"/>
    <w:qFormat/>
    <w:uiPriority w:val="0"/>
  </w:style>
  <w:style w:type="character" w:customStyle="1" w:styleId="44">
    <w:name w:val="closeeye"/>
    <w:qFormat/>
    <w:uiPriority w:val="0"/>
  </w:style>
  <w:style w:type="character" w:customStyle="1" w:styleId="45">
    <w:name w:val="gwds_nopic"/>
    <w:qFormat/>
    <w:uiPriority w:val="0"/>
  </w:style>
  <w:style w:type="character" w:customStyle="1" w:styleId="46">
    <w:name w:val="remaintime"/>
    <w:qFormat/>
    <w:uiPriority w:val="0"/>
    <w:rPr>
      <w:color w:val="000000"/>
      <w:shd w:val="clear" w:color="auto" w:fill="CACACA"/>
    </w:rPr>
  </w:style>
  <w:style w:type="character" w:customStyle="1" w:styleId="47">
    <w:name w:val="seepass"/>
    <w:qFormat/>
    <w:uiPriority w:val="0"/>
  </w:style>
  <w:style w:type="character" w:customStyle="1" w:styleId="48">
    <w:name w:val="on2"/>
    <w:qFormat/>
    <w:uiPriority w:val="0"/>
    <w:rPr>
      <w:color w:val="FFFFFF"/>
      <w:bdr w:val="single" w:color="C9100E" w:sz="4" w:space="0"/>
      <w:shd w:val="clear" w:color="auto" w:fill="C9100E"/>
    </w:rPr>
  </w:style>
  <w:style w:type="character" w:customStyle="1" w:styleId="49">
    <w:name w:val="laypage_curr"/>
    <w:qFormat/>
    <w:uiPriority w:val="0"/>
    <w:rPr>
      <w:color w:val="FFFDF4"/>
      <w:shd w:val="clear" w:color="auto" w:fill="0B67A6"/>
    </w:rPr>
  </w:style>
  <w:style w:type="character" w:customStyle="1" w:styleId="50">
    <w:name w:val="hidepass"/>
    <w:qFormat/>
    <w:uiPriority w:val="0"/>
  </w:style>
  <w:style w:type="character" w:customStyle="1" w:styleId="51">
    <w:name w:val="eyespan"/>
    <w:qFormat/>
    <w:uiPriority w:val="0"/>
  </w:style>
  <w:style w:type="character" w:customStyle="1" w:styleId="52">
    <w:name w:val="hover16"/>
    <w:qFormat/>
    <w:uiPriority w:val="0"/>
    <w:rPr>
      <w:color w:val="025291"/>
    </w:rPr>
  </w:style>
  <w:style w:type="character" w:customStyle="1" w:styleId="53">
    <w:name w:val="place2"/>
    <w:qFormat/>
    <w:uiPriority w:val="0"/>
    <w:rPr>
      <w:rFonts w:ascii="微软雅黑" w:hAnsi="微软雅黑" w:eastAsia="微软雅黑" w:cs="微软雅黑"/>
      <w:color w:val="888888"/>
      <w:sz w:val="20"/>
      <w:szCs w:val="20"/>
    </w:rPr>
  </w:style>
  <w:style w:type="character" w:customStyle="1" w:styleId="54">
    <w:name w:val="hover"/>
    <w:qFormat/>
    <w:uiPriority w:val="0"/>
    <w:rPr>
      <w:color w:val="025291"/>
    </w:rPr>
  </w:style>
  <w:style w:type="character" w:customStyle="1" w:styleId="55">
    <w:name w:val="font1"/>
    <w:qFormat/>
    <w:uiPriority w:val="0"/>
  </w:style>
  <w:style w:type="character" w:customStyle="1" w:styleId="56">
    <w:name w:val="gwds_nopic2"/>
    <w:qFormat/>
    <w:uiPriority w:val="0"/>
  </w:style>
  <w:style w:type="character" w:customStyle="1" w:styleId="57">
    <w:name w:val="place1"/>
    <w:qFormat/>
    <w:uiPriority w:val="0"/>
  </w:style>
  <w:style w:type="character" w:customStyle="1" w:styleId="58">
    <w:name w:val="place3"/>
    <w:qFormat/>
    <w:uiPriority w:val="0"/>
  </w:style>
  <w:style w:type="character" w:customStyle="1" w:styleId="59">
    <w:name w:val="noline"/>
    <w:qFormat/>
    <w:uiPriority w:val="0"/>
  </w:style>
  <w:style w:type="character" w:customStyle="1" w:styleId="60">
    <w:name w:val="gwds_nopic1"/>
    <w:qFormat/>
    <w:uiPriority w:val="0"/>
  </w:style>
  <w:style w:type="character" w:customStyle="1" w:styleId="61">
    <w:name w:val="hover18"/>
    <w:qFormat/>
    <w:uiPriority w:val="0"/>
    <w:rPr>
      <w:color w:val="FFFFFF"/>
      <w:shd w:val="clear" w:color="auto" w:fill="237EC7"/>
    </w:rPr>
  </w:style>
  <w:style w:type="character" w:customStyle="1" w:styleId="62">
    <w:name w:val="hover19"/>
    <w:qFormat/>
    <w:uiPriority w:val="0"/>
    <w:rPr>
      <w:color w:val="FFFFFF"/>
      <w:bdr w:val="single" w:color="C9100E" w:sz="4" w:space="0"/>
      <w:shd w:val="clear" w:color="auto" w:fill="C9100E"/>
    </w:rPr>
  </w:style>
  <w:style w:type="character" w:customStyle="1" w:styleId="63">
    <w:name w:val="place"/>
    <w:qFormat/>
    <w:uiPriority w:val="0"/>
  </w:style>
  <w:style w:type="character" w:customStyle="1" w:styleId="64">
    <w:name w:val="font"/>
    <w:qFormat/>
    <w:uiPriority w:val="0"/>
  </w:style>
  <w:style w:type="character" w:customStyle="1" w:styleId="65">
    <w:name w:val="font11"/>
    <w:qFormat/>
    <w:uiPriority w:val="0"/>
    <w:rPr>
      <w:rFonts w:hint="eastAsia" w:ascii="仿宋" w:hAnsi="仿宋" w:eastAsia="仿宋" w:cs="仿宋"/>
      <w:color w:val="191919"/>
      <w:sz w:val="24"/>
      <w:szCs w:val="24"/>
      <w:u w:val="none"/>
    </w:rPr>
  </w:style>
  <w:style w:type="character" w:customStyle="1" w:styleId="66">
    <w:name w:val="正文文本 Char"/>
    <w:basedOn w:val="19"/>
    <w:link w:val="5"/>
    <w:qFormat/>
    <w:uiPriority w:val="0"/>
    <w:rPr>
      <w:rFonts w:ascii="Times New Roman" w:hAnsi="Times New Roman" w:eastAsia="宋体" w:cs="Times New Roman"/>
      <w:kern w:val="2"/>
      <w:sz w:val="28"/>
      <w:szCs w:val="28"/>
    </w:rPr>
  </w:style>
  <w:style w:type="character" w:customStyle="1" w:styleId="67">
    <w:name w:val="标题 3 Char"/>
    <w:basedOn w:val="19"/>
    <w:link w:val="3"/>
    <w:qFormat/>
    <w:uiPriority w:val="0"/>
    <w:rPr>
      <w:rFonts w:ascii="Times New Roman" w:hAnsi="Times New Roman" w:eastAsia="仿宋_GB2312" w:cs="Times New Roman"/>
      <w:kern w:val="2"/>
      <w:sz w:val="32"/>
      <w:szCs w:val="24"/>
    </w:rPr>
  </w:style>
  <w:style w:type="paragraph" w:customStyle="1" w:styleId="68">
    <w:name w:val="Char"/>
    <w:basedOn w:val="1"/>
    <w:qFormat/>
    <w:uiPriority w:val="0"/>
    <w:rPr>
      <w:rFonts w:ascii="仿宋_GB2312" w:hAnsi="&lt;p&gt;" w:eastAsia="仿宋_GB2312" w:cs="仿宋_GB2312"/>
      <w:b/>
      <w:bCs/>
      <w:sz w:val="32"/>
      <w:szCs w:val="32"/>
    </w:rPr>
  </w:style>
  <w:style w:type="character" w:customStyle="1" w:styleId="69">
    <w:name w:val="标题 1 Char"/>
    <w:basedOn w:val="19"/>
    <w:link w:val="2"/>
    <w:qFormat/>
    <w:uiPriority w:val="9"/>
    <w:rPr>
      <w:b/>
      <w:bCs/>
      <w:kern w:val="44"/>
      <w:sz w:val="44"/>
      <w:szCs w:val="44"/>
    </w:rPr>
  </w:style>
  <w:style w:type="paragraph" w:customStyle="1" w:styleId="70">
    <w:name w:val="TableOfAuthoring"/>
    <w:basedOn w:val="1"/>
    <w:next w:val="1"/>
    <w:qFormat/>
    <w:uiPriority w:val="0"/>
    <w:pPr>
      <w:ind w:left="420" w:leftChars="200"/>
    </w:pPr>
    <w:rPr>
      <w:rFonts w:ascii="Calibri" w:hAnsi="Calibri" w:eastAsia="宋体" w:cs="Times New Roman"/>
      <w:szCs w:val="24"/>
    </w:rPr>
  </w:style>
  <w:style w:type="paragraph" w:customStyle="1" w:styleId="71">
    <w:name w:val="Normal Indent1"/>
    <w:basedOn w:val="1"/>
    <w:qFormat/>
    <w:uiPriority w:val="0"/>
    <w:pPr>
      <w:spacing w:line="360" w:lineRule="auto"/>
      <w:ind w:firstLine="720" w:firstLineChars="200"/>
    </w:pPr>
    <w:rPr>
      <w:rFonts w:ascii="Calibri" w:hAnsi="Calibri" w:eastAsia="仿宋" w:cs="Times New Roman"/>
      <w:sz w:val="28"/>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7A703-5192-4924-8575-D43AF973A76D}">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3740</Words>
  <Characters>3890</Characters>
  <Lines>29</Lines>
  <Paragraphs>8</Paragraphs>
  <TotalTime>596</TotalTime>
  <ScaleCrop>false</ScaleCrop>
  <LinksUpToDate>false</LinksUpToDate>
  <CharactersWithSpaces>3916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2020-12-14T02:38:00Z</dcterms:created>
  <dc:creator>pc1</dc:creator>
  <cp:lastModifiedBy>WPS_1604918664</cp:lastModifiedBy>
  <cp:lastPrinted>2023-03-23T07:52:00Z</cp:lastPrinted>
  <dcterms:modified xsi:type="dcterms:W3CDTF">2023-07-05T02:22:01Z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6BDE5DC5D82946C3B742F0488A8B4152_13</vt:lpwstr>
  </property>
</Properties>
</file>