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920"/>
          <w:tab w:val="left" w:pos="8460"/>
        </w:tabs>
        <w:snapToGrid w:val="0"/>
        <w:spacing w:line="560" w:lineRule="exact"/>
        <w:rPr>
          <w:rFonts w:ascii="黑体" w:hAnsi="黑体" w:eastAsia="黑体" w:cs="仿宋_GB2312"/>
          <w:sz w:val="32"/>
          <w:szCs w:val="32"/>
        </w:rPr>
      </w:pPr>
      <w:r>
        <w:rPr>
          <w:rFonts w:hint="eastAsia" w:ascii="黑体" w:hAnsi="黑体" w:eastAsia="黑体" w:cs="仿宋_GB2312"/>
          <w:sz w:val="32"/>
          <w:szCs w:val="32"/>
        </w:rPr>
        <w:t>附件</w:t>
      </w:r>
    </w:p>
    <w:p>
      <w:pPr>
        <w:tabs>
          <w:tab w:val="left" w:pos="7920"/>
          <w:tab w:val="left" w:pos="8460"/>
        </w:tabs>
        <w:snapToGrid w:val="0"/>
        <w:spacing w:after="312" w:afterLines="100" w:line="560" w:lineRule="exact"/>
        <w:jc w:val="center"/>
        <w:rPr>
          <w:rFonts w:ascii="方正小标宋简体" w:eastAsia="方正小标宋简体" w:cs="仿宋_GB2312"/>
          <w:sz w:val="44"/>
          <w:szCs w:val="44"/>
        </w:rPr>
      </w:pPr>
      <w:bookmarkStart w:id="0" w:name="_GoBack"/>
      <w:r>
        <w:rPr>
          <w:rFonts w:hint="eastAsia" w:ascii="方正小标宋简体" w:eastAsia="方正小标宋简体" w:cs="仿宋_GB2312"/>
          <w:sz w:val="44"/>
          <w:szCs w:val="44"/>
        </w:rPr>
        <w:t>济南市历下区行政许可事项清单（2023年版）</w:t>
      </w:r>
    </w:p>
    <w:bookmarkEnd w:id="0"/>
    <w:tbl>
      <w:tblPr>
        <w:tblStyle w:val="13"/>
        <w:tblW w:w="5585" w:type="pct"/>
        <w:jc w:val="center"/>
        <w:tblLayout w:type="autofit"/>
        <w:tblCellMar>
          <w:top w:w="0" w:type="dxa"/>
          <w:left w:w="108" w:type="dxa"/>
          <w:bottom w:w="0" w:type="dxa"/>
          <w:right w:w="108" w:type="dxa"/>
        </w:tblCellMar>
      </w:tblPr>
      <w:tblGrid>
        <w:gridCol w:w="761"/>
        <w:gridCol w:w="1942"/>
        <w:gridCol w:w="2513"/>
        <w:gridCol w:w="2625"/>
        <w:gridCol w:w="6521"/>
      </w:tblGrid>
      <w:tr>
        <w:tblPrEx>
          <w:tblCellMar>
            <w:top w:w="0" w:type="dxa"/>
            <w:left w:w="108" w:type="dxa"/>
            <w:bottom w:w="0" w:type="dxa"/>
            <w:right w:w="108" w:type="dxa"/>
          </w:tblCellMar>
        </w:tblPrEx>
        <w:trPr>
          <w:trHeight w:val="270" w:hRule="atLeast"/>
          <w:tblHeader/>
          <w:jc w:val="center"/>
        </w:trPr>
        <w:tc>
          <w:tcPr>
            <w:tcW w:w="265" w:type="pct"/>
            <w:tcBorders>
              <w:top w:val="single" w:color="auto" w:sz="6" w:space="0"/>
              <w:left w:val="single" w:color="auto" w:sz="6" w:space="0"/>
              <w:bottom w:val="single" w:color="auto" w:sz="6" w:space="0"/>
              <w:right w:val="single" w:color="auto" w:sz="6" w:space="0"/>
            </w:tcBorders>
            <w:noWrap w:val="0"/>
            <w:vAlign w:val="top"/>
          </w:tcPr>
          <w:p>
            <w:pPr>
              <w:jc w:val="center"/>
              <w:rPr>
                <w:rFonts w:ascii="黑体" w:hAnsi="黑体" w:eastAsia="黑体"/>
                <w:color w:val="000000"/>
                <w:sz w:val="24"/>
                <w:szCs w:val="24"/>
              </w:rPr>
            </w:pPr>
            <w:r>
              <w:rPr>
                <w:rFonts w:hint="eastAsia" w:ascii="黑体" w:hAnsi="黑体" w:eastAsia="黑体"/>
                <w:color w:val="000000"/>
                <w:sz w:val="24"/>
                <w:szCs w:val="24"/>
              </w:rPr>
              <w:t>序号</w:t>
            </w:r>
          </w:p>
        </w:tc>
        <w:tc>
          <w:tcPr>
            <w:tcW w:w="676" w:type="pct"/>
            <w:tcBorders>
              <w:top w:val="single" w:color="auto" w:sz="6" w:space="0"/>
              <w:left w:val="single" w:color="auto" w:sz="6" w:space="0"/>
              <w:bottom w:val="single" w:color="auto" w:sz="6" w:space="0"/>
              <w:right w:val="single" w:color="auto" w:sz="6" w:space="0"/>
            </w:tcBorders>
            <w:noWrap w:val="0"/>
            <w:vAlign w:val="top"/>
          </w:tcPr>
          <w:p>
            <w:pPr>
              <w:jc w:val="center"/>
              <w:rPr>
                <w:rFonts w:ascii="黑体" w:hAnsi="黑体" w:eastAsia="黑体"/>
                <w:color w:val="000000"/>
                <w:sz w:val="24"/>
                <w:szCs w:val="24"/>
              </w:rPr>
            </w:pPr>
            <w:r>
              <w:rPr>
                <w:rFonts w:hint="eastAsia" w:ascii="黑体" w:hAnsi="黑体" w:eastAsia="黑体"/>
                <w:color w:val="000000"/>
                <w:sz w:val="24"/>
                <w:szCs w:val="24"/>
              </w:rPr>
              <w:t>区级主管部门</w:t>
            </w:r>
          </w:p>
        </w:tc>
        <w:tc>
          <w:tcPr>
            <w:tcW w:w="875" w:type="pct"/>
            <w:tcBorders>
              <w:top w:val="single" w:color="auto" w:sz="6" w:space="0"/>
              <w:left w:val="single" w:color="auto" w:sz="6" w:space="0"/>
              <w:bottom w:val="single" w:color="auto" w:sz="6" w:space="0"/>
              <w:right w:val="single" w:color="auto" w:sz="6" w:space="0"/>
            </w:tcBorders>
            <w:noWrap w:val="0"/>
            <w:vAlign w:val="top"/>
          </w:tcPr>
          <w:p>
            <w:pPr>
              <w:jc w:val="center"/>
              <w:rPr>
                <w:rFonts w:ascii="黑体" w:hAnsi="黑体" w:eastAsia="黑体"/>
                <w:color w:val="000000"/>
                <w:sz w:val="24"/>
                <w:szCs w:val="24"/>
              </w:rPr>
            </w:pPr>
            <w:r>
              <w:rPr>
                <w:rFonts w:hint="eastAsia" w:ascii="黑体" w:hAnsi="黑体" w:eastAsia="黑体"/>
                <w:color w:val="000000"/>
                <w:sz w:val="24"/>
                <w:szCs w:val="24"/>
              </w:rPr>
              <w:t>事项名称</w:t>
            </w:r>
          </w:p>
        </w:tc>
        <w:tc>
          <w:tcPr>
            <w:tcW w:w="914" w:type="pct"/>
            <w:tcBorders>
              <w:top w:val="single" w:color="auto" w:sz="6" w:space="0"/>
              <w:left w:val="single" w:color="auto" w:sz="6" w:space="0"/>
              <w:bottom w:val="single" w:color="auto" w:sz="6" w:space="0"/>
              <w:right w:val="single" w:color="auto" w:sz="6" w:space="0"/>
            </w:tcBorders>
            <w:noWrap w:val="0"/>
            <w:vAlign w:val="top"/>
          </w:tcPr>
          <w:p>
            <w:pPr>
              <w:jc w:val="center"/>
              <w:rPr>
                <w:rFonts w:ascii="黑体" w:hAnsi="黑体" w:eastAsia="黑体"/>
                <w:color w:val="000000"/>
                <w:sz w:val="24"/>
                <w:szCs w:val="24"/>
              </w:rPr>
            </w:pPr>
            <w:r>
              <w:rPr>
                <w:rFonts w:hint="eastAsia" w:ascii="黑体" w:hAnsi="黑体" w:eastAsia="黑体"/>
                <w:color w:val="000000"/>
                <w:sz w:val="24"/>
                <w:szCs w:val="24"/>
              </w:rPr>
              <w:t>实施机关</w:t>
            </w:r>
          </w:p>
        </w:tc>
        <w:tc>
          <w:tcPr>
            <w:tcW w:w="2270" w:type="pct"/>
            <w:tcBorders>
              <w:top w:val="single" w:color="auto" w:sz="6" w:space="0"/>
              <w:left w:val="single" w:color="auto" w:sz="6" w:space="0"/>
              <w:bottom w:val="single" w:color="auto" w:sz="6" w:space="0"/>
              <w:right w:val="single" w:color="auto" w:sz="6" w:space="0"/>
            </w:tcBorders>
            <w:noWrap w:val="0"/>
            <w:vAlign w:val="top"/>
          </w:tcPr>
          <w:p>
            <w:pPr>
              <w:jc w:val="center"/>
              <w:rPr>
                <w:rFonts w:ascii="黑体" w:hAnsi="黑体" w:eastAsia="黑体"/>
                <w:color w:val="000000"/>
                <w:sz w:val="24"/>
                <w:szCs w:val="24"/>
              </w:rPr>
            </w:pPr>
            <w:r>
              <w:rPr>
                <w:rFonts w:hint="eastAsia" w:ascii="黑体" w:hAnsi="黑体" w:eastAsia="黑体"/>
                <w:color w:val="000000"/>
                <w:sz w:val="24"/>
                <w:szCs w:val="24"/>
              </w:rPr>
              <w:t>设定和实施依据</w:t>
            </w:r>
          </w:p>
        </w:tc>
      </w:tr>
      <w:tr>
        <w:tblPrEx>
          <w:tblCellMar>
            <w:top w:w="0" w:type="dxa"/>
            <w:left w:w="108" w:type="dxa"/>
            <w:bottom w:w="0" w:type="dxa"/>
            <w:right w:w="108" w:type="dxa"/>
          </w:tblCellMar>
        </w:tblPrEx>
        <w:trPr>
          <w:trHeight w:val="178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固定资产投资项目核准（含国发〔2016〕72号文件规定的外商投资项目）</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区政府（由区行政审批服务局承办）</w:t>
            </w:r>
          </w:p>
        </w:tc>
        <w:tc>
          <w:tcPr>
            <w:tcW w:w="2270" w:type="pct"/>
            <w:tcBorders>
              <w:top w:val="nil"/>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《企业投资项目核准和备案管理条例》</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《国务院关于发布政府核准的投资项目目录（2016年本）的通知》（国发〔2016〕72号）</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《山东省人民政府关于发布政府核准的投资项目目录（山东省2017年本）的通知》（鲁政发〔2017〕31号）</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127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固定资产投资项目节能审查</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《中华人民共和国节约能源法》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《固定资产投资项目节能审查办法》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198"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在电力设施周围或者电力设施保护区内进行可能危及电力设施安全作业审批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《中华人民共和国电力法》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《电力设施保护条例》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《中共济南市历下区委办公室 济南市历下区人民政府办公室关于印发〈济南市历下区推进相对集中行政许可权组建区行政审批服务局改革方案〉的通知》（历下办发〔2018〕52号）</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新建不能满足管道保护要求的石油天然气管道防护方案审批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《中华人民共和国石油天然气管道保护法》</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可能影响石油天然气管道保护的施工作业审批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《中华人民共和国石油天然气管道保护法》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229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区教育和体育局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中等及以下学校和其他教育机构设置审批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《中华人民共和国教育法》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《中华人民共和国民办教育促进法》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《中华人民共和国民办教育促进法实施条例》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《中华人民共和国中外合作办学条例》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《国务院关于当前发展学前教育的若干意见》（国发〔2010〕41号）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《国务院办公厅关于规范校外培训机构发展的意见》（国办发〔2018〕80号）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区教育和体育局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从事文艺、体育等专业训练的社会组织自行实施义务教育审批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区教育和体育局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《中华人民共和国义务教育法》</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区教育和体育局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校车使用许可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区政府（由区教育和体育局会同市公安局交通警察支队历下区大队承办）</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《校车安全管理条例》</w:t>
            </w:r>
          </w:p>
        </w:tc>
      </w:tr>
      <w:tr>
        <w:tblPrEx>
          <w:tblCellMar>
            <w:top w:w="0" w:type="dxa"/>
            <w:left w:w="108" w:type="dxa"/>
            <w:bottom w:w="0" w:type="dxa"/>
            <w:right w:w="108" w:type="dxa"/>
          </w:tblCellMar>
        </w:tblPrEx>
        <w:trPr>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w:t>
            </w:r>
          </w:p>
        </w:tc>
        <w:tc>
          <w:tcPr>
            <w:tcW w:w="676"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区教育和体育局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教师资格认定</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区教育和体育局（受市教育局委托实施）；区教育和体育局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《中华人民共和国教师法》</w:t>
            </w:r>
          </w:p>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《教师资格条例》</w:t>
            </w:r>
          </w:p>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《国家职业资格目录（2021年版）》</w:t>
            </w:r>
          </w:p>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《济南市人民政府关于调整实施部分市级行政权力事项的决定》（市政府令第272号）</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w:t>
            </w:r>
          </w:p>
        </w:tc>
        <w:tc>
          <w:tcPr>
            <w:tcW w:w="676"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区教育和体育局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适龄儿童、少年因身体状况需要延缓入学或者休学审批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区教育和体育局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《中华人民共和国义务教育法》</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w:t>
            </w:r>
          </w:p>
        </w:tc>
        <w:tc>
          <w:tcPr>
            <w:tcW w:w="676"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民用枪支及枪支主要零部件、弹药配置许可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《中华人民共和国枪支管理法》</w:t>
            </w:r>
          </w:p>
        </w:tc>
      </w:tr>
      <w:tr>
        <w:tblPrEx>
          <w:tblCellMar>
            <w:top w:w="0" w:type="dxa"/>
            <w:left w:w="108" w:type="dxa"/>
            <w:bottom w:w="0" w:type="dxa"/>
            <w:right w:w="108" w:type="dxa"/>
          </w:tblCellMar>
        </w:tblPrEx>
        <w:trPr>
          <w:trHeight w:val="76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w:t>
            </w:r>
          </w:p>
        </w:tc>
        <w:tc>
          <w:tcPr>
            <w:tcW w:w="676"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举行集会游行示威许可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《中华人民共和国集会游行示威法》</w:t>
            </w:r>
          </w:p>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《中华人民共和国集会游行示威法实施条例》</w:t>
            </w:r>
          </w:p>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《山东省实施〈中华人民共和国集会游行示威法〉办法》</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w:t>
            </w:r>
          </w:p>
        </w:tc>
        <w:tc>
          <w:tcPr>
            <w:tcW w:w="676"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大型群众性活动安全许可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2270" w:type="pct"/>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《中华人民共和国消防法》</w:t>
            </w:r>
          </w:p>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《大型群众性活动安全管理条例》</w:t>
            </w:r>
          </w:p>
        </w:tc>
      </w:tr>
      <w:tr>
        <w:tblPrEx>
          <w:tblCellMar>
            <w:top w:w="0" w:type="dxa"/>
            <w:left w:w="108" w:type="dxa"/>
            <w:bottom w:w="0" w:type="dxa"/>
            <w:right w:w="108" w:type="dxa"/>
          </w:tblCellMar>
        </w:tblPrEx>
        <w:trPr>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w:t>
            </w:r>
          </w:p>
        </w:tc>
        <w:tc>
          <w:tcPr>
            <w:tcW w:w="676"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旅馆业特种行业许可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《旅馆业治安管理办法》</w:t>
            </w:r>
          </w:p>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《国务院对确需保留的行政审批项目设定行政许可的决定》</w:t>
            </w:r>
          </w:p>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《公安部关于深化娱乐服务场所和特种行业治安管理改革进一步依法加强事中事后监管的工作意见》（公治〔2017〕529号）</w:t>
            </w:r>
          </w:p>
        </w:tc>
      </w:tr>
      <w:tr>
        <w:tblPrEx>
          <w:tblCellMar>
            <w:top w:w="0" w:type="dxa"/>
            <w:left w:w="108" w:type="dxa"/>
            <w:bottom w:w="0" w:type="dxa"/>
            <w:right w:w="108" w:type="dxa"/>
          </w:tblCellMar>
        </w:tblPrEx>
        <w:trPr>
          <w:trHeight w:val="76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w:t>
            </w:r>
          </w:p>
        </w:tc>
        <w:tc>
          <w:tcPr>
            <w:tcW w:w="676"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举办焰火晚会及其他大型焰火燃放活动许可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《烟花爆竹安全管理条例》</w:t>
            </w:r>
          </w:p>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《公安部办公厅关于贯彻执行〈大型焰火燃放作业人员资格条件及管理〉和〈大型焰火燃放作业单位资质条件及管理〉有关事项的通知》（公治〔2010〕592号）</w:t>
            </w:r>
          </w:p>
        </w:tc>
      </w:tr>
      <w:tr>
        <w:tblPrEx>
          <w:tblCellMar>
            <w:top w:w="0" w:type="dxa"/>
            <w:left w:w="108" w:type="dxa"/>
            <w:bottom w:w="0" w:type="dxa"/>
            <w:right w:w="108" w:type="dxa"/>
          </w:tblCellMar>
        </w:tblPrEx>
        <w:trPr>
          <w:trHeight w:val="876" w:hRule="atLeast"/>
          <w:jc w:val="center"/>
        </w:trPr>
        <w:tc>
          <w:tcPr>
            <w:tcW w:w="265" w:type="pct"/>
            <w:tcBorders>
              <w:top w:val="single" w:color="auto" w:sz="6" w:space="0"/>
              <w:left w:val="single" w:color="auto" w:sz="6" w:space="0"/>
              <w:bottom w:val="single" w:color="auto" w:sz="4" w:space="0"/>
              <w:right w:val="single" w:color="auto" w:sz="6" w:space="0"/>
            </w:tcBorders>
            <w:noWrap w:val="0"/>
            <w:vAlign w:val="center"/>
          </w:tcPr>
          <w:p>
            <w:pPr>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16</w:t>
            </w:r>
          </w:p>
        </w:tc>
        <w:tc>
          <w:tcPr>
            <w:tcW w:w="676" w:type="pct"/>
            <w:tcBorders>
              <w:top w:val="single" w:color="auto" w:sz="6" w:space="0"/>
              <w:left w:val="single" w:color="auto" w:sz="6" w:space="0"/>
              <w:bottom w:val="single" w:color="auto" w:sz="4" w:space="0"/>
              <w:right w:val="single" w:color="auto" w:sz="6" w:space="0"/>
            </w:tcBorders>
            <w:noWrap w:val="0"/>
            <w:vAlign w:val="center"/>
          </w:tcPr>
          <w:p>
            <w:pPr>
              <w:spacing w:line="30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875" w:type="pct"/>
            <w:tcBorders>
              <w:top w:val="single" w:color="auto" w:sz="6" w:space="0"/>
              <w:left w:val="single" w:color="auto" w:sz="6" w:space="0"/>
              <w:bottom w:val="single" w:color="auto" w:sz="4"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烟花爆竹道路运输许可</w:t>
            </w:r>
          </w:p>
        </w:tc>
        <w:tc>
          <w:tcPr>
            <w:tcW w:w="914" w:type="pct"/>
            <w:tcBorders>
              <w:top w:val="single" w:color="auto" w:sz="6" w:space="0"/>
              <w:left w:val="single" w:color="auto" w:sz="6" w:space="0"/>
              <w:bottom w:val="single" w:color="auto" w:sz="4"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2270" w:type="pct"/>
            <w:tcBorders>
              <w:top w:val="single" w:color="000000" w:sz="6" w:space="0"/>
              <w:left w:val="single" w:color="000000" w:sz="6" w:space="0"/>
              <w:bottom w:val="single" w:color="auto" w:sz="4" w:space="0"/>
              <w:right w:val="single" w:color="000000"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《烟花爆竹安全管理条例》</w:t>
            </w:r>
          </w:p>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《关于优化烟花爆竹道路运输许可审批进一步深化烟花爆竹“放管服”改革工作的通知》（公治安明发〔2019〕218号）</w:t>
            </w:r>
          </w:p>
        </w:tc>
      </w:tr>
      <w:tr>
        <w:tblPrEx>
          <w:tblCellMar>
            <w:top w:w="0" w:type="dxa"/>
            <w:left w:w="108" w:type="dxa"/>
            <w:bottom w:w="0" w:type="dxa"/>
            <w:right w:w="108" w:type="dxa"/>
          </w:tblCellMar>
        </w:tblPrEx>
        <w:trPr>
          <w:trHeight w:val="27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17</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民用爆炸物品购买许可</w:t>
            </w:r>
          </w:p>
        </w:tc>
        <w:tc>
          <w:tcPr>
            <w:tcW w:w="914" w:type="pct"/>
            <w:tcBorders>
              <w:top w:val="single" w:color="auto" w:sz="6" w:space="0"/>
              <w:left w:val="single" w:color="auto" w:sz="6" w:space="0"/>
              <w:bottom w:val="single" w:color="auto" w:sz="6" w:space="0"/>
              <w:right w:val="nil"/>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《民用爆炸物品安全管理条例》</w:t>
            </w:r>
          </w:p>
        </w:tc>
      </w:tr>
      <w:tr>
        <w:tblPrEx>
          <w:tblCellMar>
            <w:top w:w="0" w:type="dxa"/>
            <w:left w:w="108" w:type="dxa"/>
            <w:bottom w:w="0" w:type="dxa"/>
            <w:right w:w="108" w:type="dxa"/>
          </w:tblCellMar>
        </w:tblPrEx>
        <w:trPr>
          <w:trHeight w:val="27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民用爆炸物品运输许可</w:t>
            </w:r>
          </w:p>
        </w:tc>
        <w:tc>
          <w:tcPr>
            <w:tcW w:w="914" w:type="pct"/>
            <w:tcBorders>
              <w:top w:val="single" w:color="auto" w:sz="6" w:space="0"/>
              <w:left w:val="single" w:color="auto" w:sz="6" w:space="0"/>
              <w:bottom w:val="single" w:color="auto" w:sz="6" w:space="0"/>
              <w:right w:val="nil"/>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《民用爆炸物品安全管理条例》</w:t>
            </w:r>
          </w:p>
        </w:tc>
      </w:tr>
      <w:tr>
        <w:tblPrEx>
          <w:tblCellMar>
            <w:top w:w="0" w:type="dxa"/>
            <w:left w:w="108" w:type="dxa"/>
            <w:bottom w:w="0" w:type="dxa"/>
            <w:right w:w="108" w:type="dxa"/>
          </w:tblCellMar>
        </w:tblPrEx>
        <w:trPr>
          <w:trHeight w:val="27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剧毒化学品购买许可</w:t>
            </w:r>
          </w:p>
        </w:tc>
        <w:tc>
          <w:tcPr>
            <w:tcW w:w="914" w:type="pct"/>
            <w:tcBorders>
              <w:top w:val="single" w:color="auto" w:sz="6" w:space="0"/>
              <w:left w:val="single" w:color="auto" w:sz="6" w:space="0"/>
              <w:bottom w:val="single" w:color="auto" w:sz="6" w:space="0"/>
              <w:right w:val="nil"/>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《危险化学品安全管理条例》</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w:t>
            </w:r>
          </w:p>
        </w:tc>
        <w:tc>
          <w:tcPr>
            <w:tcW w:w="676" w:type="pct"/>
            <w:tcBorders>
              <w:top w:val="nil"/>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pacing w:val="-14"/>
                <w:sz w:val="24"/>
                <w:szCs w:val="24"/>
              </w:rPr>
            </w:pPr>
            <w:r>
              <w:rPr>
                <w:rFonts w:hint="eastAsia" w:ascii="仿宋_GB2312" w:hAnsi="仿宋_GB2312" w:eastAsia="仿宋_GB2312" w:cs="仿宋_GB2312"/>
                <w:color w:val="000000"/>
                <w:spacing w:val="-14"/>
                <w:sz w:val="24"/>
                <w:szCs w:val="24"/>
              </w:rPr>
              <w:t>市公安局交通警察支队历下区大队</w:t>
            </w:r>
          </w:p>
        </w:tc>
        <w:tc>
          <w:tcPr>
            <w:tcW w:w="875" w:type="pct"/>
            <w:tcBorders>
              <w:top w:val="nil"/>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剧毒化学品道路运输通行许可</w:t>
            </w:r>
          </w:p>
        </w:tc>
        <w:tc>
          <w:tcPr>
            <w:tcW w:w="914" w:type="pct"/>
            <w:tcBorders>
              <w:top w:val="nil"/>
              <w:left w:val="single" w:color="auto" w:sz="6" w:space="0"/>
              <w:bottom w:val="single" w:color="auto" w:sz="6" w:space="0"/>
              <w:right w:val="nil"/>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市公安局交通警察支队历下区大队</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《危险化学品安全管理条例》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《剧毒化学品购买和公路运输许可证件管理办法》</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21</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放射性物品道路运输许可</w:t>
            </w:r>
          </w:p>
        </w:tc>
        <w:tc>
          <w:tcPr>
            <w:tcW w:w="914" w:type="pct"/>
            <w:tcBorders>
              <w:top w:val="single" w:color="auto" w:sz="6" w:space="0"/>
              <w:left w:val="single" w:color="auto" w:sz="6" w:space="0"/>
              <w:bottom w:val="single" w:color="auto" w:sz="6" w:space="0"/>
              <w:right w:val="nil"/>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《中华人民共和国核安全法》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《放射性物品运输安全管理条例》</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22</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pacing w:val="-14"/>
                <w:sz w:val="24"/>
                <w:szCs w:val="24"/>
              </w:rPr>
              <w:t>市公安局交通警察支队历下区大队</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运输危险化学品的车辆进入危险化学品运输车辆限制通行区域审批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市公安局交通警察支队历下区大队</w:t>
            </w:r>
          </w:p>
        </w:tc>
        <w:tc>
          <w:tcPr>
            <w:tcW w:w="2270" w:type="pct"/>
            <w:tcBorders>
              <w:top w:val="nil"/>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《危险化学品安全管理条例》</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23</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易制毒化学品购买许可（除第一类中的药品类易制毒化学品外）</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2270" w:type="pct"/>
            <w:tcBorders>
              <w:top w:val="single" w:color="000000" w:sz="6" w:space="0"/>
              <w:left w:val="single" w:color="000000" w:sz="6" w:space="0"/>
              <w:bottom w:val="single" w:color="000000" w:sz="6" w:space="0"/>
              <w:right w:val="single" w:color="000000"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《中华人民共和国禁毒法》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《易制毒化学品管理条例》</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24</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易制毒化学品运输许可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2270" w:type="pct"/>
            <w:tcBorders>
              <w:top w:val="single" w:color="000000" w:sz="6" w:space="0"/>
              <w:left w:val="single" w:color="000000" w:sz="6" w:space="0"/>
              <w:bottom w:val="single" w:color="000000" w:sz="6" w:space="0"/>
              <w:right w:val="single" w:color="000000"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《中华人民共和国禁毒法》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《易制毒化学品管理条例》</w:t>
            </w:r>
          </w:p>
        </w:tc>
      </w:tr>
      <w:tr>
        <w:tblPrEx>
          <w:tblCellMar>
            <w:top w:w="0" w:type="dxa"/>
            <w:left w:w="108" w:type="dxa"/>
            <w:bottom w:w="0" w:type="dxa"/>
            <w:right w:w="108" w:type="dxa"/>
          </w:tblCellMar>
        </w:tblPrEx>
        <w:trPr>
          <w:trHeight w:val="76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25</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pacing w:val="-14"/>
                <w:sz w:val="24"/>
                <w:szCs w:val="24"/>
              </w:rPr>
              <w:t>市公安局交通警察支队历下区大队</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机动车登记</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市公安局交通警察支队历下区大队</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《中华人民共和国道路交通安全法》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《中华人民共和国道路交通安全法实施条例》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《机动车登记规定》</w:t>
            </w:r>
          </w:p>
        </w:tc>
      </w:tr>
      <w:tr>
        <w:tblPrEx>
          <w:tblCellMar>
            <w:top w:w="0" w:type="dxa"/>
            <w:left w:w="108" w:type="dxa"/>
            <w:bottom w:w="0" w:type="dxa"/>
            <w:right w:w="108" w:type="dxa"/>
          </w:tblCellMar>
        </w:tblPrEx>
        <w:trPr>
          <w:trHeight w:val="76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26</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pacing w:val="-14"/>
                <w:sz w:val="24"/>
                <w:szCs w:val="24"/>
              </w:rPr>
              <w:t>市公安局交通警察支队历下区大队</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机动车临时通行牌证核发</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市公安局交通警察支队历下区大队</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《中华人民共和国道路交通安全法》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《中华人民共和国道路交通安全法实施条例》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《机动车登记规定》</w:t>
            </w:r>
          </w:p>
        </w:tc>
      </w:tr>
      <w:tr>
        <w:tblPrEx>
          <w:tblCellMar>
            <w:top w:w="0" w:type="dxa"/>
            <w:left w:w="108" w:type="dxa"/>
            <w:bottom w:w="0" w:type="dxa"/>
            <w:right w:w="108" w:type="dxa"/>
          </w:tblCellMar>
        </w:tblPrEx>
        <w:trPr>
          <w:trHeight w:val="76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27</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pacing w:val="-14"/>
                <w:sz w:val="24"/>
                <w:szCs w:val="24"/>
              </w:rPr>
              <w:t>市公安局交通警察支队历下区大队</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机动车检验合格标志核发</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市公安局交通警察支队历下区大队</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《中华人民共和国道路交通安全法》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《中华人民共和国道路交通安全法实施条例》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《机动车登记规定》</w:t>
            </w:r>
          </w:p>
        </w:tc>
      </w:tr>
      <w:tr>
        <w:tblPrEx>
          <w:tblCellMar>
            <w:top w:w="0" w:type="dxa"/>
            <w:left w:w="108" w:type="dxa"/>
            <w:bottom w:w="0" w:type="dxa"/>
            <w:right w:w="108" w:type="dxa"/>
          </w:tblCellMar>
        </w:tblPrEx>
        <w:trPr>
          <w:trHeight w:val="76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28</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pacing w:val="-14"/>
                <w:sz w:val="24"/>
                <w:szCs w:val="24"/>
              </w:rPr>
              <w:t>市公安局交通警察支队历下区大队</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机动车驾驶证核发、审验</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市公安局交通警察支队历下区大队</w:t>
            </w:r>
          </w:p>
        </w:tc>
        <w:tc>
          <w:tcPr>
            <w:tcW w:w="2270" w:type="pct"/>
            <w:tcBorders>
              <w:top w:val="single" w:color="333333" w:sz="6" w:space="0"/>
              <w:left w:val="single" w:color="333333" w:sz="6" w:space="0"/>
              <w:bottom w:val="single" w:color="333333" w:sz="6" w:space="0"/>
              <w:right w:val="single" w:color="333333"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《中华人民共和国道路交通安全法》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《中华人民共和国道路交通安全法实施条例》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《机动车驾驶证申领和使用规定》</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29</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pacing w:val="-14"/>
                <w:sz w:val="24"/>
                <w:szCs w:val="24"/>
              </w:rPr>
              <w:t>市公安局交通警察支队历下区大队</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校车驾驶资格许可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市公安局交通警察支队历下区大队</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《校车安全管理条例》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《机动车驾驶证申领和使用规定》</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30</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pacing w:val="-14"/>
                <w:sz w:val="24"/>
                <w:szCs w:val="24"/>
              </w:rPr>
              <w:t>市公安局交通警察支队历下区大队</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非机动车登记</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市公安局交通警察支队历下区大队</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《中华人民共和国道路交通安全法》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《山东省电动自行车管理办法》（省政府令第348号）</w:t>
            </w:r>
          </w:p>
        </w:tc>
      </w:tr>
      <w:tr>
        <w:tblPrEx>
          <w:tblCellMar>
            <w:top w:w="0" w:type="dxa"/>
            <w:left w:w="108" w:type="dxa"/>
            <w:bottom w:w="0" w:type="dxa"/>
            <w:right w:w="108" w:type="dxa"/>
          </w:tblCellMar>
        </w:tblPrEx>
        <w:trPr>
          <w:trHeight w:val="76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31</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pacing w:val="-14"/>
                <w:sz w:val="24"/>
                <w:szCs w:val="24"/>
              </w:rPr>
              <w:t>市公安局交通警察支队历下区大队</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涉路施工交通安全审查</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市公安局交通警察支队历下区大队</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《中华人民共和国道路交通安全法》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《中华人民共和国公路法》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《城市道路管理条例》</w:t>
            </w:r>
          </w:p>
        </w:tc>
      </w:tr>
      <w:tr>
        <w:tblPrEx>
          <w:tblCellMar>
            <w:top w:w="0" w:type="dxa"/>
            <w:left w:w="108" w:type="dxa"/>
            <w:bottom w:w="0" w:type="dxa"/>
            <w:right w:w="108" w:type="dxa"/>
          </w:tblCellMar>
        </w:tblPrEx>
        <w:trPr>
          <w:trHeight w:val="27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32</w:t>
            </w:r>
          </w:p>
        </w:tc>
        <w:tc>
          <w:tcPr>
            <w:tcW w:w="676"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户口迁移审批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《中华人民共和国户口登记条例》</w:t>
            </w:r>
          </w:p>
        </w:tc>
      </w:tr>
      <w:tr>
        <w:tblPrEx>
          <w:tblCellMar>
            <w:top w:w="0" w:type="dxa"/>
            <w:left w:w="108" w:type="dxa"/>
            <w:bottom w:w="0" w:type="dxa"/>
            <w:right w:w="108" w:type="dxa"/>
          </w:tblCellMar>
        </w:tblPrEx>
        <w:trPr>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33</w:t>
            </w:r>
          </w:p>
        </w:tc>
        <w:tc>
          <w:tcPr>
            <w:tcW w:w="676"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犬类准养证核发</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《中华人民共和国动物防疫法》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《中华人民共和国传染病防治法实施办法》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《山东省动物防疫条例》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《济南市文明养犬管理条例》</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34</w:t>
            </w:r>
          </w:p>
        </w:tc>
        <w:tc>
          <w:tcPr>
            <w:tcW w:w="676"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普通护照签发</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市公安局历下区分局（受理国家移民管理局事权事项）</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《中华人民共和国护照法》</w:t>
            </w:r>
          </w:p>
        </w:tc>
      </w:tr>
      <w:tr>
        <w:tblPrEx>
          <w:tblCellMar>
            <w:top w:w="0" w:type="dxa"/>
            <w:left w:w="108" w:type="dxa"/>
            <w:bottom w:w="0" w:type="dxa"/>
            <w:right w:w="108" w:type="dxa"/>
          </w:tblCellMar>
        </w:tblPrEx>
        <w:trPr>
          <w:trHeight w:val="27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35</w:t>
            </w:r>
          </w:p>
        </w:tc>
        <w:tc>
          <w:tcPr>
            <w:tcW w:w="676"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边境管理区通行证核发</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《国务院对确需保留的行政审批项目设定行政许可的决定》</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36</w:t>
            </w:r>
          </w:p>
        </w:tc>
        <w:tc>
          <w:tcPr>
            <w:tcW w:w="676"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内地居民前往港澳通行证、往来港澳通行证及签注签发</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市公安局历下区分局（受理中华人民共和国出入境管理局事权事项）</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《中国公民因私事往来香港地区或者澳门地区的暂行管理办法》</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37</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港澳居民来往内地通行证签发</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市公安局历下区分局（受理中华人民共和国出入境管理局事权事项）</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《中国公民因私事往来香港地区或者澳门地区的暂行管理办法》</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38</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大陆居民往来台湾通行证及签注签发</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市公安局历下区分局（受理中华人民共和国出入境管理局事权事项）</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《中国公民往来台湾地区管理办法》</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39</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台湾居民来往大陆通行证签发</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市公安局历下区分局（受理中华人民共和国出入境管理局事权事项）</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《中国公民往来台湾地区管理办法》</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40</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pacing w:val="-14"/>
                <w:sz w:val="24"/>
                <w:szCs w:val="24"/>
              </w:rPr>
              <w:t>市公安局交通警察支队历下区大队</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临时占用道路从事大型活动的许可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市公安局交通警察支队历下区大队</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《山东省实施〈中华人民共和国道路交通安全法〉办法》</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《济南市道路交通安全条例》</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41</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pacing w:val="-14"/>
                <w:sz w:val="24"/>
                <w:szCs w:val="24"/>
              </w:rPr>
              <w:t>市公安局交通警察支队历下区大队</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在限制、禁止的区域或者路段通行、停靠机动车的许可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市公安局交通警察支队历下区大队</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《山东省实施〈中华人民共和国道路交通安全法〉办法》</w:t>
            </w:r>
          </w:p>
        </w:tc>
      </w:tr>
      <w:tr>
        <w:tblPrEx>
          <w:tblCellMar>
            <w:top w:w="0" w:type="dxa"/>
            <w:left w:w="108" w:type="dxa"/>
            <w:bottom w:w="0" w:type="dxa"/>
            <w:right w:w="108" w:type="dxa"/>
          </w:tblCellMar>
        </w:tblPrEx>
        <w:trPr>
          <w:trHeight w:val="204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42</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区民政局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社会团体成立、变更、注销登记及修改章程核准</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受市行政审批服务局委托实施）（实行登记管理机关和业务主管单位双重负责管理体制的，由有关业务主管单位实施前置审查）；区行政审批服务局（实行登记管理机关和业务主管单位双重负责管理体制的，由有关业务主管单位实施前置审查）</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《社会团体登记管理条例》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《济南市人民政府关于调整实施部分市级行政权力事项的决定》（市政府令第272号）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204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43</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区民政局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民办非企业单位成立、变更、注销登记及修改章程核准</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受委托实施部分市行政审批服务局事权事项）（实行登记管理机关和业务主管单位双重负责管理体制的，由有关业务主管单位实施前置审查）；区行政审批服务局（实行登记管理机关和业务主管单位双重负责管理体制的，由有关业务主管单位实施前置审查）</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《民办非企业单位登记管理暂行条例》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《济南市人民政府关于调整实施部分市级行政权力事项的决定》（市政府令第272号）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《济南市人民政府关于推进“市县同权”改革将部分市级行政许可及关联行政权力事项调整由区县实施的通知》（济政字〔2020〕44号）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44</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区民政局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宗教活动场所法人成立、变更、注销登记</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区行政审批服务局（由区委统战部〔区民族宗教事务局〕实施前置审查）</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《宗教事务条例》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127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45</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区民政局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慈善组织公开募捐资格审批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区行政审批服务局（受市行政审批服务局委托实施）；区行政审批服务局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《中华人民共和国慈善法》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《济南市人民政府关于调整实施部分市级行政权力事项的决定》（市政府令第272号）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127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46</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区民政局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殡葬设施建设审批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区政府；区行政审批服务局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《殡葬管理条例》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《国务院关于深化“证照分离”改革进一步激发市场主体发展活力的通知》（国发〔2021〕7号）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47</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区民政局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地名命名、更名审批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县级有关部门</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《地名管理条例》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127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48</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区财政局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中介机构从事代理记账业务审批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《中华人民共和国会计法》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《代理记账管理办法》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127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49</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区人力资源和</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社会保障局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职业培训学校筹设审批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《中华人民共和国民办教育促进法》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《中华人民共和国中外合作办学条例》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127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50</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区人力资源和</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社会保障局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职业培训学校办学许可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《中华人民共和国民办教育促进法》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《中华人民共和国中外合作办学条例》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153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51</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区人力资源和</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社会保障局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人力资源服务许可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《中华人民共和国就业促进法》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《人力资源市场暂行条例》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《山东省人力资源市场条例》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153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52</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区人力资源和</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社会保障局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劳务派遣经营许可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《中华人民共和国劳动合同法》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《劳务派遣行政许可实施办法》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《山东省人力资源市场条例》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127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53</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区人力资源和</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社会保障局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企业实行不定时工作制和综合计算工时工作制审批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《中华人民共和国劳动法》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《关于企业实行不定时工作制和综合计算工时工作制的审批办法》（劳部发〔1994〕503号）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84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54</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开采矿产资源审批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《中华人民共和国矿产资源法》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《中华人民共和国矿产资源法实施细则》</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《矿产资源开采登记管理办法》</w:t>
            </w:r>
          </w:p>
        </w:tc>
      </w:tr>
      <w:tr>
        <w:tblPrEx>
          <w:tblCellMar>
            <w:top w:w="0" w:type="dxa"/>
            <w:left w:w="108" w:type="dxa"/>
            <w:bottom w:w="0" w:type="dxa"/>
            <w:right w:w="108" w:type="dxa"/>
          </w:tblCellMar>
        </w:tblPrEx>
        <w:trPr>
          <w:trHeight w:val="1020" w:hRule="atLeast"/>
          <w:jc w:val="center"/>
        </w:trPr>
        <w:tc>
          <w:tcPr>
            <w:tcW w:w="265" w:type="pct"/>
            <w:tcBorders>
              <w:top w:val="single" w:color="auto" w:sz="6" w:space="0"/>
              <w:left w:val="single" w:color="auto" w:sz="6" w:space="0"/>
              <w:bottom w:val="single" w:color="auto" w:sz="4"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55</w:t>
            </w:r>
          </w:p>
        </w:tc>
        <w:tc>
          <w:tcPr>
            <w:tcW w:w="676" w:type="pct"/>
            <w:tcBorders>
              <w:top w:val="single" w:color="auto" w:sz="6" w:space="0"/>
              <w:left w:val="single" w:color="auto" w:sz="6" w:space="0"/>
              <w:bottom w:val="single" w:color="auto" w:sz="4"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875" w:type="pct"/>
            <w:tcBorders>
              <w:top w:val="single" w:color="auto" w:sz="6" w:space="0"/>
              <w:left w:val="single" w:color="auto" w:sz="6" w:space="0"/>
              <w:bottom w:val="single" w:color="auto" w:sz="4"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建设项目用地预审与选址意见书核发</w:t>
            </w:r>
          </w:p>
        </w:tc>
        <w:tc>
          <w:tcPr>
            <w:tcW w:w="914" w:type="pct"/>
            <w:tcBorders>
              <w:top w:val="single" w:color="auto" w:sz="6" w:space="0"/>
              <w:left w:val="single" w:color="auto" w:sz="6" w:space="0"/>
              <w:bottom w:val="single" w:color="auto" w:sz="4"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2270" w:type="pct"/>
            <w:tcBorders>
              <w:top w:val="single" w:color="auto" w:sz="6" w:space="0"/>
              <w:left w:val="single" w:color="auto" w:sz="6" w:space="0"/>
              <w:bottom w:val="single" w:color="auto" w:sz="4"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《中华人民共和国城乡规划法》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《中华人民共和国土地管理法》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《中华人民共和国土地管理法实施条例》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《建设项目用地预审管理办法》</w:t>
            </w:r>
          </w:p>
        </w:tc>
      </w:tr>
      <w:tr>
        <w:tblPrEx>
          <w:tblCellMar>
            <w:top w:w="0" w:type="dxa"/>
            <w:left w:w="108" w:type="dxa"/>
            <w:bottom w:w="0" w:type="dxa"/>
            <w:right w:w="108" w:type="dxa"/>
          </w:tblCellMar>
        </w:tblPrEx>
        <w:trPr>
          <w:trHeight w:val="510" w:hRule="atLeast"/>
          <w:jc w:val="center"/>
        </w:trPr>
        <w:tc>
          <w:tcPr>
            <w:tcW w:w="265" w:type="pct"/>
            <w:tcBorders>
              <w:top w:val="single" w:color="auto" w:sz="4" w:space="0"/>
              <w:left w:val="single" w:color="auto" w:sz="4" w:space="0"/>
              <w:bottom w:val="single" w:color="auto" w:sz="4"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56</w:t>
            </w:r>
          </w:p>
        </w:tc>
        <w:tc>
          <w:tcPr>
            <w:tcW w:w="676" w:type="pct"/>
            <w:tcBorders>
              <w:top w:val="single" w:color="auto" w:sz="4" w:space="0"/>
              <w:left w:val="single" w:color="auto" w:sz="6" w:space="0"/>
              <w:bottom w:val="single" w:color="auto" w:sz="4"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875" w:type="pct"/>
            <w:tcBorders>
              <w:top w:val="single" w:color="auto" w:sz="4" w:space="0"/>
              <w:left w:val="single" w:color="auto" w:sz="6" w:space="0"/>
              <w:bottom w:val="single" w:color="auto" w:sz="4"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国有建设用地使用权出让后土地使用权分割转让批准</w:t>
            </w:r>
          </w:p>
        </w:tc>
        <w:tc>
          <w:tcPr>
            <w:tcW w:w="914" w:type="pct"/>
            <w:tcBorders>
              <w:top w:val="single" w:color="auto" w:sz="4" w:space="0"/>
              <w:left w:val="single" w:color="auto" w:sz="6" w:space="0"/>
              <w:bottom w:val="single" w:color="auto" w:sz="4"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2270" w:type="pct"/>
            <w:tcBorders>
              <w:top w:val="single" w:color="auto" w:sz="4" w:space="0"/>
              <w:left w:val="single" w:color="auto" w:sz="6" w:space="0"/>
              <w:bottom w:val="single" w:color="auto" w:sz="4" w:space="0"/>
              <w:right w:val="single" w:color="auto" w:sz="4"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《中华人民共和国城镇国有土地使用权出让和转让暂行条例》</w:t>
            </w:r>
          </w:p>
        </w:tc>
      </w:tr>
      <w:tr>
        <w:tblPrEx>
          <w:tblCellMar>
            <w:top w:w="0" w:type="dxa"/>
            <w:left w:w="108" w:type="dxa"/>
            <w:bottom w:w="0" w:type="dxa"/>
            <w:right w:w="108" w:type="dxa"/>
          </w:tblCellMar>
        </w:tblPrEx>
        <w:trPr>
          <w:trHeight w:val="510" w:hRule="atLeast"/>
          <w:jc w:val="center"/>
        </w:trPr>
        <w:tc>
          <w:tcPr>
            <w:tcW w:w="265" w:type="pct"/>
            <w:tcBorders>
              <w:top w:val="single" w:color="auto" w:sz="4"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57</w:t>
            </w:r>
          </w:p>
        </w:tc>
        <w:tc>
          <w:tcPr>
            <w:tcW w:w="676" w:type="pct"/>
            <w:tcBorders>
              <w:top w:val="single" w:color="auto" w:sz="4"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875" w:type="pct"/>
            <w:tcBorders>
              <w:top w:val="single" w:color="auto" w:sz="4"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乡（镇）村企业使用集体建设用地审批</w:t>
            </w:r>
          </w:p>
        </w:tc>
        <w:tc>
          <w:tcPr>
            <w:tcW w:w="914" w:type="pct"/>
            <w:tcBorders>
              <w:top w:val="single" w:color="auto" w:sz="4"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区政府（受市政府委托承办，由区自然资源局承办）</w:t>
            </w:r>
          </w:p>
        </w:tc>
        <w:tc>
          <w:tcPr>
            <w:tcW w:w="2270" w:type="pct"/>
            <w:tcBorders>
              <w:top w:val="single" w:color="auto" w:sz="4"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《中华人民共和国土地管理法》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《济南市人民政府关于调整实施部分市级行政权力事项的决定》（市政府令第272号）</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58</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乡（镇）村公共设施、公益事业使用集体建设用地审批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区政府（受市政府委托承办，由区自然资源局承办）</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《中华人民共和国土地管理法》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《济南市人民政府关于调整实施部分市级行政权力事项的决定》（市政府令第272号）</w:t>
            </w:r>
          </w:p>
        </w:tc>
      </w:tr>
      <w:tr>
        <w:tblPrEx>
          <w:tblCellMar>
            <w:top w:w="0" w:type="dxa"/>
            <w:left w:w="108" w:type="dxa"/>
            <w:bottom w:w="0" w:type="dxa"/>
            <w:right w:w="108" w:type="dxa"/>
          </w:tblCellMar>
        </w:tblPrEx>
        <w:trPr>
          <w:trHeight w:val="27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59</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临时用地审批</w:t>
            </w:r>
          </w:p>
        </w:tc>
        <w:tc>
          <w:tcPr>
            <w:tcW w:w="914" w:type="pct"/>
            <w:tcBorders>
              <w:top w:val="nil"/>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《中华人民共和国土地管理法》</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60</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开发未确定使用权的国有荒山、荒地、荒滩从事生产审查</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区政府（由区自然资源局承办）</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《中华人民共和国土地管理法》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《中华人民共和国土地管理法实施条例》</w:t>
            </w:r>
          </w:p>
        </w:tc>
      </w:tr>
      <w:tr>
        <w:tblPrEx>
          <w:tblCellMar>
            <w:top w:w="0" w:type="dxa"/>
            <w:left w:w="108" w:type="dxa"/>
            <w:bottom w:w="0" w:type="dxa"/>
            <w:right w:w="108" w:type="dxa"/>
          </w:tblCellMar>
        </w:tblPrEx>
        <w:trPr>
          <w:trHeight w:val="229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61</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市生态环境局</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历下分局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一般建设项目环境影响评价审批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市生态环境局历下分局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《中华人民共和国环境保护法》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《中华人民共和国环境影响评价法》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《中华人民共和国水污染防治法》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《中华人民共和国大气污染防治法》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《中华人民共和国土壤污染防治法》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《中华人民共和国固体废物污染环境防治法》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《中华人民共和国噪声污染防治法》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《建设项目环境保护管理条例》</w:t>
            </w:r>
          </w:p>
        </w:tc>
      </w:tr>
      <w:tr>
        <w:tblPrEx>
          <w:tblCellMar>
            <w:top w:w="0" w:type="dxa"/>
            <w:left w:w="108" w:type="dxa"/>
            <w:bottom w:w="0" w:type="dxa"/>
            <w:right w:w="108" w:type="dxa"/>
          </w:tblCellMar>
        </w:tblPrEx>
        <w:trPr>
          <w:trHeight w:val="127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62</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市生态环境局</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历下分局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核与辐射类建设项目环境影响评价审批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市生态环境局历下分局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《中华人民共和国环境保护法》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《中华人民共和国环境影响评价法》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《中华人民共和国放射性污染防治法》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《中华人民共和国核安全法》</w:t>
            </w:r>
          </w:p>
        </w:tc>
      </w:tr>
      <w:tr>
        <w:tblPrEx>
          <w:tblCellMar>
            <w:top w:w="0" w:type="dxa"/>
            <w:left w:w="108" w:type="dxa"/>
            <w:bottom w:w="0" w:type="dxa"/>
            <w:right w:w="108" w:type="dxa"/>
          </w:tblCellMar>
        </w:tblPrEx>
        <w:trPr>
          <w:trHeight w:val="127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63</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市生态环境局</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历下分局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江河、湖泊新建、改建或者扩大排污口审批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《中华人民共和国水法》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《中华人民共和国水污染防治法》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《中央编办关于生态环境部流域生态环境监管机构设置有关事项的通知》（中央编办发〔2019〕26号）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64</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市生态环境局</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历下分局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危险废物经营许可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市生态环境局历下分局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《中华人民共和国固体废物污染环境防治法》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《危险废物经营许可证管理办法》</w:t>
            </w:r>
          </w:p>
        </w:tc>
      </w:tr>
      <w:tr>
        <w:tblPrEx>
          <w:tblCellMar>
            <w:top w:w="0" w:type="dxa"/>
            <w:left w:w="108" w:type="dxa"/>
            <w:bottom w:w="0" w:type="dxa"/>
            <w:right w:w="108" w:type="dxa"/>
          </w:tblCellMar>
        </w:tblPrEx>
        <w:trPr>
          <w:trHeight w:val="27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65</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市生态环境局</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历下分局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放射性核素排放许可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市生态环境局历下分局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《中华人民共和国放射性污染防治法》</w:t>
            </w:r>
          </w:p>
        </w:tc>
      </w:tr>
      <w:tr>
        <w:tblPrEx>
          <w:tblCellMar>
            <w:top w:w="0" w:type="dxa"/>
            <w:left w:w="108" w:type="dxa"/>
            <w:bottom w:w="0" w:type="dxa"/>
            <w:right w:w="108" w:type="dxa"/>
          </w:tblCellMar>
        </w:tblPrEx>
        <w:trPr>
          <w:trHeight w:val="76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66</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区住房和城市</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建筑工程施工许可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区住房和城市建设局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《中华人民共和国建筑法》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《建筑工程施工许可管理办法》</w:t>
            </w:r>
          </w:p>
        </w:tc>
      </w:tr>
      <w:tr>
        <w:tblPrEx>
          <w:tblCellMar>
            <w:top w:w="0" w:type="dxa"/>
            <w:left w:w="108" w:type="dxa"/>
            <w:bottom w:w="0" w:type="dxa"/>
            <w:right w:w="108" w:type="dxa"/>
          </w:tblCellMar>
        </w:tblPrEx>
        <w:trPr>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67</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区住房和城市</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燃气经营许可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《城镇燃气管理条例》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127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68</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区住房和城市</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燃气经营者改动市政燃气设施审批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《城镇燃气管理条例》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《国务院关于第六批取消和调整行政审批项目的决定》（国发〔2012〕52号）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76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69</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区住房和城市</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历史文化街区、名镇、名村核心保护范围内拆除历史建筑以外的建筑物、构筑物或者其他设施审批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区住房和城市建设局会同区文化和旅游局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《历史文化名城名镇名村保护条例》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《济南市历史文化名城保护条例》</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70</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区住房和城市</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历史建筑外部修缮装饰、添加设施以及改变历史建筑的结构或者使用性质审批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区住房和城市建设局会同区文化和旅游局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《历史文化名城名镇名村保护条例》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《济南市历史文化名城保护条例》</w:t>
            </w:r>
          </w:p>
        </w:tc>
      </w:tr>
      <w:tr>
        <w:tblPrEx>
          <w:tblCellMar>
            <w:top w:w="0" w:type="dxa"/>
            <w:left w:w="108" w:type="dxa"/>
            <w:bottom w:w="0" w:type="dxa"/>
            <w:right w:w="108" w:type="dxa"/>
          </w:tblCellMar>
        </w:tblPrEx>
        <w:trPr>
          <w:trHeight w:val="76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71</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区住房和城市</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建设工程消防设计审查</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区住房和城市建设局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《中华人民共和国消防法》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《建设工程消防设计审查验收管理暂行规定》</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72</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区住房和城市</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建设工程消防验收</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区住房和城市建设局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《中华人民共和国消防法》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《建设工程消防设计审查验收管理暂行规定》</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73</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区住房和城市</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在村庄、集镇规划区内公共场所修建临时建筑等设施审批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乡级政府</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《村庄和集镇规划建设管理条例》</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74</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区住房和城市</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建筑起重机械使用登记</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区住房和城市建设局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《中华人民共和国特种设备安全法》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《建设工程安全生产管理条例》</w:t>
            </w:r>
          </w:p>
        </w:tc>
      </w:tr>
      <w:tr>
        <w:tblPrEx>
          <w:tblCellMar>
            <w:top w:w="0" w:type="dxa"/>
            <w:left w:w="108" w:type="dxa"/>
            <w:bottom w:w="0" w:type="dxa"/>
            <w:right w:w="108" w:type="dxa"/>
          </w:tblCellMar>
        </w:tblPrEx>
        <w:trPr>
          <w:trHeight w:val="127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75</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区城市管理局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供热经营许可证核发</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《山东省供热条例》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《山东省供热经营许可管理办法》（鲁建燃热字〔2016〕14号）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127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76</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区城市管理局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供热企业停业许可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《山东省供热条例》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《山东省城市建设管理条例》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77</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区城市管理局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关闭、闲置、拆除城市环境卫生设施许可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区行政审批服务局会同市生态环境局历下分局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《中华人民共和国固体废物污染环境防治法》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78</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区城市管理局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拆除环境卫生设施许可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《城市市容和环境卫生管理条例》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79</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区城市管理局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临时性建筑物搭建、堆放物料、占道施工审批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《城市市容和环境卫生管理条例》</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80</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区水务局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城镇污水排入排水管网许可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区水务局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《城镇排水与污水处理条例》</w:t>
            </w:r>
          </w:p>
        </w:tc>
      </w:tr>
      <w:tr>
        <w:tblPrEx>
          <w:tblCellMar>
            <w:top w:w="0" w:type="dxa"/>
            <w:left w:w="108" w:type="dxa"/>
            <w:bottom w:w="0" w:type="dxa"/>
            <w:right w:w="108" w:type="dxa"/>
          </w:tblCellMar>
        </w:tblPrEx>
        <w:trPr>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81</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区水务局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水利基建项目初步设计文件审批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《国务院对确需保留的行政审批项目设定行政许可的决定》</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《济南市人民政府关于推进“市县同权”改革将部分市级行政许可及关联行政权力事项调整由区县实施的通知》（济政字〔2020〕44号）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178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82</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区水务局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河道管理范围内特定活动审批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《中华人民共和国河道管理条例》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《山东省实施〈中华人民共和国河道管理条例〉办法》（省政府令第19号发布，省政府令第311号修正）</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《济南市人民政府关于推进“市县同权”改革将部分市级行政许可及关联行政权力事项调整由区县实施的通知》（济政字〔2020〕44 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《中共济南市历下区委办公室 济南市历下区人民政府办公室关于印发〈济南市历下区推进相对集中行政许可权组建区行政审批服务局改革方案〉的通知》（历下办发〔2018〕52号)</w:t>
            </w:r>
          </w:p>
        </w:tc>
      </w:tr>
      <w:tr>
        <w:tblPrEx>
          <w:tblCellMar>
            <w:top w:w="0" w:type="dxa"/>
            <w:left w:w="108" w:type="dxa"/>
            <w:bottom w:w="0" w:type="dxa"/>
            <w:right w:w="108" w:type="dxa"/>
          </w:tblCellMar>
        </w:tblPrEx>
        <w:trPr>
          <w:trHeight w:val="178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83</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区水务局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河道采砂许可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《中华人民共和国水法》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《中华人民共和国河道管理条例》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《山东省实施〈中华人民共和国河道管理条例〉办法》（省政府令第19号发布，省政府令第311号修正）</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647"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84</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区水务局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生产建设项目水土保持方案审批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区水务局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《中华人民共和国水土保持法》</w:t>
            </w:r>
          </w:p>
        </w:tc>
      </w:tr>
      <w:tr>
        <w:tblPrEx>
          <w:tblCellMar>
            <w:top w:w="0" w:type="dxa"/>
            <w:left w:w="108" w:type="dxa"/>
            <w:bottom w:w="0" w:type="dxa"/>
            <w:right w:w="108" w:type="dxa"/>
          </w:tblCellMar>
        </w:tblPrEx>
        <w:trPr>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85</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区水务局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农村集体经济组织修建水库审批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区水务局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《中华人民共和国水法》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《济南市人民政府关于推进“市县同权”改革将部分市级行政许可及关联行政权力事项调整由区县实施的通知》（济政字〔2020〕44号）</w:t>
            </w:r>
          </w:p>
        </w:tc>
      </w:tr>
      <w:tr>
        <w:tblPrEx>
          <w:tblCellMar>
            <w:top w:w="0" w:type="dxa"/>
            <w:left w:w="108" w:type="dxa"/>
            <w:bottom w:w="0" w:type="dxa"/>
            <w:right w:w="108" w:type="dxa"/>
          </w:tblCellMar>
        </w:tblPrEx>
        <w:trPr>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86</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区水务局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城市建设填堵水域、废除围堤审批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区政府（由区行政审批服务局承办）</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《中华人民共和国防洪法》</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1909" w:hRule="exac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87</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区水务局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占用农业灌溉水源、灌排工程设施审批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《国务院对确需保留的行政审批项目设定行政许可的决定》</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76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88</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区水务局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坝顶兼做公路审批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《水库大坝安全管理条例》</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《山东省人民政府关于取消和下放行政审批事项的决定》（省政府令第264号）</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1835" w:hRule="exac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89</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区水务局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利用堤顶、戗台兼做公路审批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《中华人民共和国河道管理条例》</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《山东省黄河河道管理条例》</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《山东省实施〈中华人民共和国河道管理条例〉办法》（省政府令第19号发布，省政府令第311号修正）</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90</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区水务局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蓄滞洪区避洪设施建设审批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《国务院对确需保留的行政审批项目设定行政许可的决定》</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1296" w:hRule="exac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91</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区水务局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大坝管理和保护范围内修建码头、渔塘许可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区水务局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《水库大坝安全管理条例》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《济南市人民政府关于推进“市县同权”改革将部分市级行政许可及关联行政权力事项调整由区县实施的通知》（济政字〔2020〕44号）</w:t>
            </w:r>
          </w:p>
          <w:p>
            <w:pPr>
              <w:jc w:val="left"/>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178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92</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区水务局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洪水影响评价类审批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《中华人民共和国水法》</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《中华人民共和国防洪法》</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《中华人民共和国河道管理条例》</w:t>
            </w:r>
          </w:p>
          <w:p>
            <w:pPr>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《中华人民共和国水文条例》</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《山东省黄河河道管理条例》</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93</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农药经营许可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《农药管理条例》</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127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94</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食用菌菌种生产经营许可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区行政审批服务局（受理省农业农村厅事权事项）；区行政审批服务局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《中华人民共和国种子法》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《食用菌菌种管理办法》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95</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使用低于国家或地方规定的种用标准的农作物种子审批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区政府（由区发展和改革局承办）</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《中华人民共和国种子法》</w:t>
            </w:r>
          </w:p>
        </w:tc>
      </w:tr>
      <w:tr>
        <w:tblPrEx>
          <w:tblCellMar>
            <w:top w:w="0" w:type="dxa"/>
            <w:left w:w="108" w:type="dxa"/>
            <w:bottom w:w="0" w:type="dxa"/>
            <w:right w:w="108" w:type="dxa"/>
          </w:tblCellMar>
        </w:tblPrEx>
        <w:trPr>
          <w:trHeight w:val="76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96</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蚕种生产经营许可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区行政审批服务局（受理省农业农村厅事权事项）</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《中华人民共和国畜牧法》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《蚕种管理办法》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97</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农业植物检疫证书核发</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《植物检疫条例》</w:t>
            </w:r>
          </w:p>
        </w:tc>
      </w:tr>
      <w:tr>
        <w:tblPrEx>
          <w:tblCellMar>
            <w:top w:w="0" w:type="dxa"/>
            <w:left w:w="108" w:type="dxa"/>
            <w:bottom w:w="0" w:type="dxa"/>
            <w:right w:w="108" w:type="dxa"/>
          </w:tblCellMar>
        </w:tblPrEx>
        <w:trPr>
          <w:trHeight w:val="641"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98</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农业植物产地检疫合格证签发</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《植物检疫条例》</w:t>
            </w:r>
          </w:p>
        </w:tc>
      </w:tr>
      <w:tr>
        <w:tblPrEx>
          <w:tblCellMar>
            <w:top w:w="0" w:type="dxa"/>
            <w:left w:w="108" w:type="dxa"/>
            <w:bottom w:w="0" w:type="dxa"/>
            <w:right w:w="108" w:type="dxa"/>
          </w:tblCellMar>
        </w:tblPrEx>
        <w:trPr>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99</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农业野生植物采集、出售、收购、野外考察审批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区行政审批服务局（受理省农业农村厅〔采集国家二级保护野生植物〕事权事项）</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《中华人民共和国野生植物保护条例》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100</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拖拉机和联合收割机驾驶证核发</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《中华人民共和国道路交通安全法》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《农业机械安全监督管理条例》</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101</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拖拉机和联合收割机登记</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《中华人民共和国道路交通安全法》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《农业机械安全监督管理条例》</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102</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工商企业等社会资本通过流转取得土地经营权审批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区政府（由区发展和改革局承办）</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《中华人民共和国农村土地承包法》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《农村土地经营权流转管理办法》</w:t>
            </w:r>
          </w:p>
        </w:tc>
      </w:tr>
      <w:tr>
        <w:tblPrEx>
          <w:tblCellMar>
            <w:top w:w="0" w:type="dxa"/>
            <w:left w:w="108" w:type="dxa"/>
            <w:bottom w:w="0" w:type="dxa"/>
            <w:right w:w="108" w:type="dxa"/>
          </w:tblCellMar>
        </w:tblPrEx>
        <w:trPr>
          <w:trHeight w:val="322" w:hRule="atLeast"/>
          <w:jc w:val="center"/>
        </w:trPr>
        <w:tc>
          <w:tcPr>
            <w:tcW w:w="265" w:type="pct"/>
            <w:tcBorders>
              <w:top w:val="single" w:color="auto" w:sz="6" w:space="0"/>
              <w:left w:val="single" w:color="auto" w:sz="6" w:space="0"/>
              <w:bottom w:val="single" w:color="auto" w:sz="4"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103</w:t>
            </w:r>
          </w:p>
        </w:tc>
        <w:tc>
          <w:tcPr>
            <w:tcW w:w="676" w:type="pct"/>
            <w:tcBorders>
              <w:top w:val="single" w:color="auto" w:sz="6" w:space="0"/>
              <w:left w:val="single" w:color="auto" w:sz="6" w:space="0"/>
              <w:bottom w:val="single" w:color="auto" w:sz="4"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4"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农村村民宅基地审批</w:t>
            </w:r>
          </w:p>
        </w:tc>
        <w:tc>
          <w:tcPr>
            <w:tcW w:w="914" w:type="pct"/>
            <w:tcBorders>
              <w:top w:val="single" w:color="auto" w:sz="6" w:space="0"/>
              <w:left w:val="single" w:color="auto" w:sz="6" w:space="0"/>
              <w:bottom w:val="single" w:color="auto" w:sz="4"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街道办事处</w:t>
            </w:r>
          </w:p>
        </w:tc>
        <w:tc>
          <w:tcPr>
            <w:tcW w:w="2270" w:type="pct"/>
            <w:tcBorders>
              <w:top w:val="single" w:color="auto" w:sz="6" w:space="0"/>
              <w:left w:val="single" w:color="auto" w:sz="6" w:space="0"/>
              <w:bottom w:val="single" w:color="auto" w:sz="4"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《中华人民共和国土地管理法》</w:t>
            </w:r>
          </w:p>
        </w:tc>
      </w:tr>
      <w:tr>
        <w:tblPrEx>
          <w:tblCellMar>
            <w:top w:w="0" w:type="dxa"/>
            <w:left w:w="108" w:type="dxa"/>
            <w:bottom w:w="0" w:type="dxa"/>
            <w:right w:w="108" w:type="dxa"/>
          </w:tblCellMar>
        </w:tblPrEx>
        <w:trPr>
          <w:trHeight w:val="153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104</w:t>
            </w:r>
          </w:p>
        </w:tc>
        <w:tc>
          <w:tcPr>
            <w:tcW w:w="676" w:type="pct"/>
            <w:tcBorders>
              <w:top w:val="nil"/>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nil"/>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水产苗种生产经营审批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《中华人民共和国渔业法》</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《农业转基因生物安全管理条例》</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《水产苗种管理办法》</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《济南市人民政府关于推进“市县同权”改革将部分市级行政许可及关联行政权力事项调整由区县实施的通知》（济政字〔2020〕44号）</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27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105</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水域滩涂养殖证核发</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区政府（由区发展和改革局承办）</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《中华人民共和国渔业法》</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106</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猎捕省重点保护水生野生动物审批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《山东省实施〈中华人民共和国野生动物保护法〉办法》</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107</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出售、购买、利用省重点保护水生野生动物及其制品审批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《山东省实施〈中华人民共和国野生动物保护法〉办法》</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《中共济南市历下区委办公室 济南市历下区人民政府办公室关于印发〈济南市历下区推进相对集中行政许可权组建区行政审批服务局改革方案〉的通知》（历下办发〔2018〕52号)</w:t>
            </w:r>
          </w:p>
        </w:tc>
      </w:tr>
      <w:tr>
        <w:tblPrEx>
          <w:tblCellMar>
            <w:top w:w="0" w:type="dxa"/>
            <w:left w:w="108" w:type="dxa"/>
            <w:bottom w:w="0" w:type="dxa"/>
            <w:right w:w="108" w:type="dxa"/>
          </w:tblCellMar>
        </w:tblPrEx>
        <w:trPr>
          <w:trHeight w:val="1222"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108</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人工繁育省重点保护水生野生动物审批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《山东省实施〈中华人民共和国野生动物保护法〉办法》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《中共济南市历下区委办公室 济南市历下区人民政府办公室关于印发〈济南市历下区推进相对集中行政许可权组建区行政审批服务局改革方案〉的通知》（历下办发〔2018〕52号)</w:t>
            </w:r>
          </w:p>
        </w:tc>
      </w:tr>
      <w:tr>
        <w:tblPrEx>
          <w:tblCellMar>
            <w:top w:w="0" w:type="dxa"/>
            <w:left w:w="108" w:type="dxa"/>
            <w:bottom w:w="0" w:type="dxa"/>
            <w:right w:w="108" w:type="dxa"/>
          </w:tblCellMar>
        </w:tblPrEx>
        <w:trPr>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109</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外国人在我省对省重点保护水生野生动物进行野外考察或者在野外拍摄电影、录像等活动审批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《山东省实施〈中华人民共和国野生动物保护法〉办法》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《中共济南市历下区委办公室 济南市历下区人民政府办公室关于印发〈济南市历下区推进相对集中行政许可权组建区行政审批服务局改革方案〉的通知》（历下办发〔2018〕52号)</w:t>
            </w:r>
          </w:p>
        </w:tc>
      </w:tr>
      <w:tr>
        <w:tblPrEx>
          <w:tblCellMar>
            <w:top w:w="0" w:type="dxa"/>
            <w:left w:w="108" w:type="dxa"/>
            <w:bottom w:w="0" w:type="dxa"/>
            <w:right w:w="108" w:type="dxa"/>
          </w:tblCellMar>
        </w:tblPrEx>
        <w:trPr>
          <w:trHeight w:val="153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110</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农作物种子生产经营许可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《中华人民共和国种子法》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《农业转基因生物安全管理条例》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《农作物种子生产经营许可管理办法》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111</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动物及动物产品检疫合格证核发</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《中华人民共和国动物防疫法》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《动物检疫管理办法》</w:t>
            </w:r>
          </w:p>
        </w:tc>
      </w:tr>
      <w:tr>
        <w:tblPrEx>
          <w:tblCellMar>
            <w:top w:w="0" w:type="dxa"/>
            <w:left w:w="108" w:type="dxa"/>
            <w:bottom w:w="0" w:type="dxa"/>
            <w:right w:w="108" w:type="dxa"/>
          </w:tblCellMar>
        </w:tblPrEx>
        <w:trPr>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112</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兽药经营许可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《兽药管理条例》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178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113</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种畜禽生产经营许可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区行政审批服务局（受委托实施部分市行政审批服务局事权事项）；区行政审批服务局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《中华人民共和国畜牧法》</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《农业转基因生物安全管理条例》</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《养蜂管理办法（试行）》（农业部公告第1692号）</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《济南市人民政府关于调整实施部分市级行政权力事项的决定》（市政府令第272号）</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114</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动物防疫条件合格证核发</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《中华人民共和国动物防疫法》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《动物防疫条件审查办法》</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115</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向无规定动物疫病区输入易感动物、动物产品的检疫审批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《中华人民共和国动物防疫法》</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《动物检疫管理办法》</w:t>
            </w:r>
          </w:p>
        </w:tc>
      </w:tr>
      <w:tr>
        <w:tblPrEx>
          <w:tblCellMar>
            <w:top w:w="0" w:type="dxa"/>
            <w:left w:w="108" w:type="dxa"/>
            <w:bottom w:w="0" w:type="dxa"/>
            <w:right w:w="108" w:type="dxa"/>
          </w:tblCellMar>
        </w:tblPrEx>
        <w:trPr>
          <w:trHeight w:val="127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116</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动物诊疗许可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《中华人民共和国动物防疫法》</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《动物诊疗机构管理办法》</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117</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生鲜乳收购站许可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《乳品质量安全监督管理条例》</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118</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区发展和改革局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生鲜乳准运证明核发</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《乳品质量安全监督管理条例》</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119</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林草种子生产经营许可证核发</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《中华人民共和国种子法》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《山东省种子条例》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《中共济南市历下区委办公室 济南市历下区人民政府办公室关于印发〈济南市历下区推进相对集中行政许可权组建区行政审批服务局改革方案〉的通知》（历下办发〔2018〕52号)</w:t>
            </w:r>
          </w:p>
        </w:tc>
      </w:tr>
      <w:tr>
        <w:tblPrEx>
          <w:tblCellMar>
            <w:top w:w="0" w:type="dxa"/>
            <w:left w:w="108" w:type="dxa"/>
            <w:bottom w:w="0" w:type="dxa"/>
            <w:right w:w="108" w:type="dxa"/>
          </w:tblCellMar>
        </w:tblPrEx>
        <w:trPr>
          <w:trHeight w:val="27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120</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林草植物检疫证书核发</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《植物检疫条例》</w:t>
            </w:r>
          </w:p>
        </w:tc>
      </w:tr>
      <w:tr>
        <w:tblPrEx>
          <w:tblCellMar>
            <w:top w:w="0" w:type="dxa"/>
            <w:left w:w="108" w:type="dxa"/>
            <w:bottom w:w="0" w:type="dxa"/>
            <w:right w:w="108" w:type="dxa"/>
          </w:tblCellMar>
        </w:tblPrEx>
        <w:trPr>
          <w:trHeight w:val="153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121</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建设项目使用林地及在森林和野生动物类型国家级自然保护区建设审批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《中华人民共和国森林法》</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《中华人民共和国森林法实施条例》</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《森林和野生动物类型自然保护区管理办法》</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27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122</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建设项目使用草原审批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《中华人民共和国草原法》</w:t>
            </w:r>
          </w:p>
        </w:tc>
      </w:tr>
      <w:tr>
        <w:tblPrEx>
          <w:tblCellMar>
            <w:top w:w="0" w:type="dxa"/>
            <w:left w:w="108" w:type="dxa"/>
            <w:bottom w:w="0" w:type="dxa"/>
            <w:right w:w="108" w:type="dxa"/>
          </w:tblCellMar>
        </w:tblPrEx>
        <w:trPr>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123</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林木采伐许可证核发</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《中华人民共和国森林法》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《中华人民共和国森林法实施条例》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《中共济南市历下区委办公室 济南市历下区人民政府办公室关于印发〈济南市历下区推进相对集中行政许可权组建区行政审批服务局改革方案〉的通知》（历下办发〔2018〕52号）</w:t>
            </w:r>
          </w:p>
        </w:tc>
      </w:tr>
      <w:tr>
        <w:tblPrEx>
          <w:tblCellMar>
            <w:top w:w="0" w:type="dxa"/>
            <w:left w:w="108" w:type="dxa"/>
            <w:bottom w:w="0" w:type="dxa"/>
            <w:right w:w="108" w:type="dxa"/>
          </w:tblCellMar>
        </w:tblPrEx>
        <w:trPr>
          <w:trHeight w:val="153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124</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猎捕陆生野生动物审批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《中华人民共和国野生动物保护法》</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《中华人民共和国陆生野生动物保护实施条例》</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《山东省实施〈中华人民共和国野生动物保护法〉办法》</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《中共济南市历下区委办公室 济南市历下区人民政府办公室关于印发〈济南市历下区推进相对集中行政许可权组建区行政审批服务局改革方案〉的通知》（历下办发〔2018〕52号)</w:t>
            </w:r>
          </w:p>
        </w:tc>
      </w:tr>
      <w:tr>
        <w:tblPrEx>
          <w:tblCellMar>
            <w:top w:w="0" w:type="dxa"/>
            <w:left w:w="108" w:type="dxa"/>
            <w:bottom w:w="0" w:type="dxa"/>
            <w:right w:w="108" w:type="dxa"/>
          </w:tblCellMar>
        </w:tblPrEx>
        <w:trPr>
          <w:trHeight w:val="76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125</w:t>
            </w:r>
          </w:p>
        </w:tc>
        <w:tc>
          <w:tcPr>
            <w:tcW w:w="676"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森林草原防火期内在森林草原防火区野外用火审批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区政府（由区自然资源局承办）</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《森林防火条例》</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《草原防火条例》</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《山东省实施〈森林防火条例〉办法》</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126</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森林草原防火期内在森林草原防火区爆破、勘察和施工等活动审批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《森林防火条例》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《草原防火条例》</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127</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进入森林高火险区、草原防火管制区审批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区政府（由区行政审批服务局承办）；区行政审批服务局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《森林防火条例》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《草原防火条例》</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128</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工商企业等社会资本通过流转取得林地经营权审批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区政府（由区自然资源局承办）</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《中华人民共和国农村土地承包法》</w:t>
            </w:r>
          </w:p>
        </w:tc>
      </w:tr>
      <w:tr>
        <w:tblPrEx>
          <w:tblCellMar>
            <w:top w:w="0" w:type="dxa"/>
            <w:left w:w="108" w:type="dxa"/>
            <w:bottom w:w="0" w:type="dxa"/>
            <w:right w:w="108" w:type="dxa"/>
          </w:tblCellMar>
        </w:tblPrEx>
        <w:trPr>
          <w:trHeight w:val="1684" w:hRule="exac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129</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人工繁育省重点保护陆生野生动物许可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《山东省实施〈中华人民共和国野生动物保护法〉办法》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《中共济南市历下区委办公室 济南市历下区人民政府办公室关于印发〈济南市历下区推进相对集中行政许可权组建区行政审批服务局改革方案〉的通知》（历下办发〔2018〕52号)</w:t>
            </w:r>
          </w:p>
          <w:p>
            <w:pPr>
              <w:jc w:val="left"/>
              <w:rPr>
                <w:rFonts w:ascii="仿宋_GB2312" w:hAnsi="仿宋_GB2312" w:eastAsia="仿宋_GB2312" w:cs="仿宋_GB2312"/>
                <w:color w:val="000000"/>
                <w:sz w:val="24"/>
                <w:szCs w:val="24"/>
              </w:rPr>
            </w:pPr>
          </w:p>
          <w:p>
            <w:pPr>
              <w:jc w:val="left"/>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76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130</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出售、购买、利用省重点保护陆生野生动物及其制品审批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《山东省实施〈中华人民共和国野生动物保护法〉办法》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《中共济南市历下区委办公室 济南市历下区人民政府办公室关于印发〈济南市历下区推进相对集中行政许可权组建区行政审批服务局改革方案〉的通知》（历下办发〔2018〕52号）</w:t>
            </w:r>
          </w:p>
        </w:tc>
      </w:tr>
      <w:tr>
        <w:tblPrEx>
          <w:tblCellMar>
            <w:top w:w="0" w:type="dxa"/>
            <w:left w:w="108" w:type="dxa"/>
            <w:bottom w:w="0" w:type="dxa"/>
            <w:right w:w="108" w:type="dxa"/>
          </w:tblCellMar>
        </w:tblPrEx>
        <w:trPr>
          <w:trHeight w:val="76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131</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区自然资源局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外国人对省重点保护陆生野生动物进行野外考察或者在野外拍摄电影、录像审批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《山东省实施〈中华人民共和国野生动物保护法〉办法》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《中共济南市历下区委办公室 济南市历下区人民政府办公室关于印发〈济南市历下区推进相对集中行政许可权组建区行政审批服务局改革方案〉的通知》（历下办发〔2018〕52号）</w:t>
            </w:r>
          </w:p>
        </w:tc>
      </w:tr>
      <w:tr>
        <w:tblPrEx>
          <w:tblCellMar>
            <w:top w:w="0" w:type="dxa"/>
            <w:left w:w="108" w:type="dxa"/>
            <w:bottom w:w="0" w:type="dxa"/>
            <w:right w:w="108" w:type="dxa"/>
          </w:tblCellMar>
        </w:tblPrEx>
        <w:trPr>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132</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区城市管理局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改变绿化规划、绿化用地的使用性质审批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《国务院对确需保留的行政审批项目设定行政许可的决定》</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133</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区城市管理局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工程建设涉及城市绿地、树木审批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《城市绿化条例》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134</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区商务局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对外劳务合作经营资格核准</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区行政审批服务局（受市行政审批服务局委托实施）</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《中华人民共和国对外贸易法》</w:t>
            </w:r>
          </w:p>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《对外劳务合作管理条例》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《济南市人民政府关于调整实施部分市级行政权力事项的决定》（市政府令第272号）</w:t>
            </w:r>
          </w:p>
        </w:tc>
      </w:tr>
      <w:tr>
        <w:tblPrEx>
          <w:tblCellMar>
            <w:top w:w="0" w:type="dxa"/>
            <w:left w:w="108" w:type="dxa"/>
            <w:bottom w:w="0" w:type="dxa"/>
            <w:right w:w="108" w:type="dxa"/>
          </w:tblCellMar>
        </w:tblPrEx>
        <w:trPr>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135</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文艺表演团体设立审批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《营业性演出管理条例》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127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136</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营业性演出审批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《营业性演出管理条例》</w:t>
            </w:r>
          </w:p>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《营业性演出管理条例实施细则》</w:t>
            </w:r>
          </w:p>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137</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娱乐场所经营活动审批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《娱乐场所管理条例》</w:t>
            </w:r>
          </w:p>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138</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互联网上网服务营业场所筹建审批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《互联网上网服务营业场所管理条例》</w:t>
            </w:r>
          </w:p>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139</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互联网上网服务经营活动审批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《互联网上网服务营业场所管理条例》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127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140</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建设工程文物保护许可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区政府（由区行政审批服务局承办，征得上一级文化和旅游部门同意）；区行政审批服务局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《中华人民共和国文物保护法》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《山东省文物保护条例》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141</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文物保护单位原址保护措施审批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《中华人民共和国文物保护法》</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《中共济南市历下区委办公室 济南市历下区人民政府办公室关于印发〈济南市历下区推进相对集中行政许可权组建区行政审批服务局改革方案〉的通知》（历下办发〔2018〕52号)</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142</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核定为文物保护单位的属于国家所有的纪念建筑物或者古建筑改变用途审批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区政府（由区文化和旅游局承办，征得上一级文化和旅游部门同意）</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《中华人民共和国文物保护法》</w:t>
            </w:r>
          </w:p>
        </w:tc>
      </w:tr>
      <w:tr>
        <w:tblPrEx>
          <w:tblCellMar>
            <w:top w:w="0" w:type="dxa"/>
            <w:left w:w="108" w:type="dxa"/>
            <w:bottom w:w="0" w:type="dxa"/>
            <w:right w:w="108" w:type="dxa"/>
          </w:tblCellMar>
        </w:tblPrEx>
        <w:trPr>
          <w:trHeight w:val="76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143</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不可移动文物修缮审批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《中华人民共和国文物保护法》</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《中共济南市历下区委办公室 济南市历下区人民政府办公室关于印发〈济南市历下区推进相对集中行政许可权组建区行政审批服务局改革方案〉的通知》（历下办发〔2018〕52号)</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144</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非国有文物收藏单位和其他单位借用国有馆藏文物审批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《中华人民共和国文物保护法》</w:t>
            </w:r>
          </w:p>
        </w:tc>
      </w:tr>
      <w:tr>
        <w:tblPrEx>
          <w:tblCellMar>
            <w:top w:w="0" w:type="dxa"/>
            <w:left w:w="108" w:type="dxa"/>
            <w:bottom w:w="0" w:type="dxa"/>
            <w:right w:w="108" w:type="dxa"/>
          </w:tblCellMar>
        </w:tblPrEx>
        <w:trPr>
          <w:trHeight w:val="76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145</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博物馆处理不够入藏标准、无保存价值的文物或标本审批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《国务院对确需保留的行政审批项目设定行政许可的决定》</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《中共济南市历下区委办公室 济南市历下区人民政府办公室关于印发〈济南市历下区推进相对集中行政许可权组建区行政审批服务局改革方案〉的通知》（历下办发〔2018〕52号)</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146</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对尚未被认定为文物的监管物品审核</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《山东省文物保护条例》</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147</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广播电视专用频段频率使用许可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区文化和旅游局（受理广电总局事权事项并逐级上报）</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《广播电视管理条例》</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148</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广播电台、电视台设立、终止审批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区文化和旅游局（受理广电总局事权事项并逐级上报）</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《广播电视管理条例》</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149</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广播电台、电视台变更台名、台标、节目设置范围或节目套数审批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区文化和旅游局（受理广电总局事权事项并逐级上报）</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《广播电视管理条例》</w:t>
            </w:r>
          </w:p>
        </w:tc>
      </w:tr>
      <w:tr>
        <w:tblPrEx>
          <w:tblCellMar>
            <w:top w:w="0" w:type="dxa"/>
            <w:left w:w="108" w:type="dxa"/>
            <w:bottom w:w="0" w:type="dxa"/>
            <w:right w:w="108" w:type="dxa"/>
          </w:tblCellMar>
        </w:tblPrEx>
        <w:trPr>
          <w:trHeight w:val="76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150</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乡镇设立广播电视站和机关、部队、团体、企业</w:t>
            </w:r>
            <w:r>
              <w:rPr>
                <w:rFonts w:hint="eastAsia" w:ascii="仿宋_GB2312" w:hAnsi="仿宋_GB2312" w:eastAsia="仿宋_GB2312" w:cs="仿宋_GB2312"/>
                <w:color w:val="000000"/>
                <w:spacing w:val="-11"/>
                <w:sz w:val="24"/>
                <w:szCs w:val="24"/>
              </w:rPr>
              <w:t>事业单位设立有线广播电视站审批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区文化和旅游局（初审省广电局事权事项）</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《广播电视管理条例》</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《广播电视站审批管理暂行规定》</w:t>
            </w:r>
          </w:p>
        </w:tc>
      </w:tr>
      <w:tr>
        <w:tblPrEx>
          <w:tblCellMar>
            <w:top w:w="0" w:type="dxa"/>
            <w:left w:w="108" w:type="dxa"/>
            <w:bottom w:w="0" w:type="dxa"/>
            <w:right w:w="108" w:type="dxa"/>
          </w:tblCellMar>
        </w:tblPrEx>
        <w:trPr>
          <w:trHeight w:val="27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151</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有线广播电视传输覆盖网工程验收审核</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《广播电视管理条例》</w:t>
            </w:r>
          </w:p>
        </w:tc>
      </w:tr>
      <w:tr>
        <w:tblPrEx>
          <w:tblCellMar>
            <w:top w:w="0" w:type="dxa"/>
            <w:left w:w="108" w:type="dxa"/>
            <w:bottom w:w="0" w:type="dxa"/>
            <w:right w:w="108" w:type="dxa"/>
          </w:tblCellMar>
        </w:tblPrEx>
        <w:trPr>
          <w:trHeight w:val="76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152</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广播电视视频点播业务审批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区文化和旅游局（受理省广电局事权事项并逐级上报）</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《国务院对确需保留的行政审批项目设定行政许可的决定》</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《广播电视视频点播业务管理办法》</w:t>
            </w:r>
          </w:p>
        </w:tc>
      </w:tr>
      <w:tr>
        <w:tblPrEx>
          <w:tblCellMar>
            <w:top w:w="0" w:type="dxa"/>
            <w:left w:w="108" w:type="dxa"/>
            <w:bottom w:w="0" w:type="dxa"/>
            <w:right w:w="108" w:type="dxa"/>
          </w:tblCellMar>
        </w:tblPrEx>
        <w:trPr>
          <w:trHeight w:val="76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153</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卫星电视广播地面接收设施安装服务许可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区文化和旅游局（初审省广电局事权事项）</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《卫星电视广播地面接收设施管理规定》</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《卫星电视广播地面接收设施安装服务暂行办法》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《广电总局关于设立卫星地面接收设施安装服务机构审批事项的通知》（广发〔2010〕24号）</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154</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设置卫星电视广播地面接收设施审批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区文化和旅游局（初审省广电局事权事项）</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《广播电视管理条例》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《卫星电视广播地面接收设施管理规定》</w:t>
            </w:r>
          </w:p>
        </w:tc>
      </w:tr>
      <w:tr>
        <w:tblPrEx>
          <w:tblCellMar>
            <w:top w:w="0" w:type="dxa"/>
            <w:left w:w="108" w:type="dxa"/>
            <w:bottom w:w="0" w:type="dxa"/>
            <w:right w:w="108" w:type="dxa"/>
          </w:tblCellMar>
        </w:tblPrEx>
        <w:trPr>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155</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出版物零售业务经营许可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《出版管理条例》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156</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印刷企业设立、变更、兼并、合并、分立审批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区行政审批服务局（受市行政审批服务局委托实施）</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《印刷业管理条例》</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《出版管理条例》</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《济南市人民政府关于调整实施部分市级行政权力事项的决定》（市政府令第272号）</w:t>
            </w:r>
          </w:p>
        </w:tc>
      </w:tr>
      <w:tr>
        <w:tblPrEx>
          <w:tblCellMar>
            <w:top w:w="0" w:type="dxa"/>
            <w:left w:w="108" w:type="dxa"/>
            <w:bottom w:w="0" w:type="dxa"/>
            <w:right w:w="108" w:type="dxa"/>
          </w:tblCellMar>
        </w:tblPrEx>
        <w:trPr>
          <w:trHeight w:val="178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157</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区文化和旅游局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电影放映单位设立审批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区行政审批服务局（受省电影局委托实施）；区行政审批服务局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《中华人民共和国电影产业促进法》</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《电影管理条例》</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《外商投资电影院暂行规定》</w:t>
            </w:r>
          </w:p>
          <w:p>
            <w:pPr>
              <w:spacing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《山东省人民政府关于委托实施部分省级行政权力事项的决定》（省政府令第351号）</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158</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区卫生健康局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饮用水供水单位卫生许可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《中华人民共和国传染病防治法》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159</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区卫生健康局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公共场所卫生许可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《公共场所卫生管理条例》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127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160</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区卫生健康局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医疗机构建设项目放射性职业病危害预评价报告审核</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《中华人民共和国职业病防治法》</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《放射诊疗管理规定》</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127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161</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区卫生健康局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医疗机构建设项目放射性职业病防护设施竣工验收</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《中华人民共和国职业病防治法》</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《放射诊疗管理规定》</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76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162</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区卫生健康局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医疗机构设置审批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《医疗机构管理条例》</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《中共济南市历下区委办公室 济南市历下区人民政府办公室关于印发〈济南市历下区推进相对集中行政许可权组建区行政审批服务局改革方案〉的通知》（历下办发〔2018〕52号）</w:t>
            </w:r>
          </w:p>
        </w:tc>
      </w:tr>
      <w:tr>
        <w:tblPrEx>
          <w:tblCellMar>
            <w:top w:w="0" w:type="dxa"/>
            <w:left w:w="108" w:type="dxa"/>
            <w:bottom w:w="0" w:type="dxa"/>
            <w:right w:w="108" w:type="dxa"/>
          </w:tblCellMar>
        </w:tblPrEx>
        <w:trPr>
          <w:trHeight w:val="76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163</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区卫生健康局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医疗机构执业登记</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《医疗机构管理条例》</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《中共济南市历下区委办公室 济南市历下区人民政府办公室关于印发〈济南市历下区推进相对集中行政许可权组建区行政审批服务局改革方案〉的通知》（历下办发〔2018〕52号)</w:t>
            </w:r>
          </w:p>
        </w:tc>
      </w:tr>
      <w:tr>
        <w:tblPrEx>
          <w:tblCellMar>
            <w:top w:w="0" w:type="dxa"/>
            <w:left w:w="108" w:type="dxa"/>
            <w:bottom w:w="0" w:type="dxa"/>
            <w:right w:w="108" w:type="dxa"/>
          </w:tblCellMar>
        </w:tblPrEx>
        <w:trPr>
          <w:trHeight w:val="127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164</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区卫生健康局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母婴保健技术服务机构执业许可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《中华人民共和国母婴保健法》</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《中华人民共和国母婴保健法实施办法》</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《母婴保健专项技术服务许可及人员资格管理办法》</w:t>
            </w:r>
          </w:p>
          <w:p>
            <w:pPr>
              <w:spacing w:line="28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《中共济南市历下区委办公室 济南市历下区人民政府办公室关于印发〈济南市历下区推进相对集中行政许可权组建区行政审批服务局改革方案〉的通知》（历下办发〔2018〕52号）</w:t>
            </w:r>
          </w:p>
        </w:tc>
      </w:tr>
      <w:tr>
        <w:tblPrEx>
          <w:tblCellMar>
            <w:top w:w="0" w:type="dxa"/>
            <w:left w:w="108" w:type="dxa"/>
            <w:bottom w:w="0" w:type="dxa"/>
            <w:right w:w="108" w:type="dxa"/>
          </w:tblCellMar>
        </w:tblPrEx>
        <w:trPr>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165</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区卫生健康局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放射源诊疗技术和医用辐射机构许可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《放射性同位素与射线装置安全和防护条例》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《放射诊疗管理规定》</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166</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区卫生健康局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单采血浆站设置审批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区行政审批服务局（初审省卫生健康委〔省中医药局〕事权事项）</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《血液制品管理条例》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127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167</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区卫生健康局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医师执业注册</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《中华人民共和国医师法》</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《医师执业注册管理办法》</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27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168</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区卫生健康局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乡村医生执业注册</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区卫生健康局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《乡村医生从业管理条例》</w:t>
            </w:r>
          </w:p>
        </w:tc>
      </w:tr>
      <w:tr>
        <w:tblPrEx>
          <w:tblCellMar>
            <w:top w:w="0" w:type="dxa"/>
            <w:left w:w="108" w:type="dxa"/>
            <w:bottom w:w="0" w:type="dxa"/>
            <w:right w:w="108" w:type="dxa"/>
          </w:tblCellMar>
        </w:tblPrEx>
        <w:trPr>
          <w:trHeight w:val="178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169</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区卫生健康局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母婴保健服务人员资格认定</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《中华人民共和国母婴保健法》</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《中华人民共和国母婴保健法实施办法》</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《母婴保健专项技术服务许可及人员资格管理办法》</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《国家职业资格目录（2021年版）》</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2379" w:hRule="exac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170</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区卫生健康局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护士执业注册</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《护士条例》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《国家职业资格目录（2021年版）》</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171</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区卫生健康局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确有专长的中医医师资格认定</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区卫生健康局（受理省卫生健康委〔省中医药局〕事权事项并逐级上报）</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《中华人民共和国中医药法》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《中医医术确有专长人员医师资格考核注册管理暂行办法》</w:t>
            </w:r>
          </w:p>
        </w:tc>
      </w:tr>
      <w:tr>
        <w:tblPrEx>
          <w:tblCellMar>
            <w:top w:w="0" w:type="dxa"/>
            <w:left w:w="108" w:type="dxa"/>
            <w:bottom w:w="0" w:type="dxa"/>
            <w:right w:w="108" w:type="dxa"/>
          </w:tblCellMar>
        </w:tblPrEx>
        <w:trPr>
          <w:trHeight w:val="127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172</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区卫生健康局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确有专长的中医医师执业注册</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《中华人民共和国中医药法》</w:t>
            </w:r>
          </w:p>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《中医医术确有专长人员医师资格考核注册管理暂行办法》</w:t>
            </w:r>
          </w:p>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173</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区卫生健康局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中医医疗机构设置审批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《中华人民共和国中医药法》</w:t>
            </w:r>
          </w:p>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《医疗机构管理条例》</w:t>
            </w:r>
          </w:p>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《中共济南市历下区委办公室 济南市历下区人民政府办公室关于印发〈济南市历下区推进相对集中行政许可权组建区行政审批服务局改革方案〉的通知》（历下办发〔2018〕52号）</w:t>
            </w:r>
          </w:p>
        </w:tc>
      </w:tr>
      <w:tr>
        <w:tblPrEx>
          <w:tblCellMar>
            <w:top w:w="0" w:type="dxa"/>
            <w:left w:w="108" w:type="dxa"/>
            <w:bottom w:w="0" w:type="dxa"/>
            <w:right w:w="108" w:type="dxa"/>
          </w:tblCellMar>
        </w:tblPrEx>
        <w:trPr>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174</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区卫生健康局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中医医疗机构执业登记</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《中华人民共和国中医药法》</w:t>
            </w:r>
          </w:p>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《医疗机构管理条例》</w:t>
            </w:r>
          </w:p>
          <w:p>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《中共济南市历下区委办公室 济南市历下区人民政府办公室关于印发〈济南市历下区推进相对集中行政许可权组建区行政审批服务局改革方案〉的通知》（历下办发〔2018〕52号）</w:t>
            </w:r>
          </w:p>
        </w:tc>
      </w:tr>
      <w:tr>
        <w:tblPrEx>
          <w:tblCellMar>
            <w:top w:w="0" w:type="dxa"/>
            <w:left w:w="108" w:type="dxa"/>
            <w:bottom w:w="0" w:type="dxa"/>
            <w:right w:w="108" w:type="dxa"/>
          </w:tblCellMar>
        </w:tblPrEx>
        <w:trPr>
          <w:trHeight w:val="127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175</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区应急管理局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石油天然气建设项目安全设施设计审查</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区应急管理局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《中华人民共和国安全生产法》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《建设项目安全设施“三同时”监督管理办法》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《国家安全监管总局办公厅关于明确非煤矿山建设项目安全监管职责等事项的通知》（安监总厅管一〔2013〕143号）</w:t>
            </w:r>
          </w:p>
        </w:tc>
      </w:tr>
      <w:tr>
        <w:tblPrEx>
          <w:tblCellMar>
            <w:top w:w="0" w:type="dxa"/>
            <w:left w:w="108" w:type="dxa"/>
            <w:bottom w:w="0" w:type="dxa"/>
            <w:right w:w="108" w:type="dxa"/>
          </w:tblCellMar>
        </w:tblPrEx>
        <w:trPr>
          <w:trHeight w:val="76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176</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区应急管理局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金属冶炼建设项目安全设施设计审查</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区应急管理局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《中华人民共和国安全生产法》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《建设项目安全设施“三同时”监督管理办法》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《冶金企业和有色金属企业安全生产规定》</w:t>
            </w:r>
          </w:p>
        </w:tc>
      </w:tr>
      <w:tr>
        <w:tblPrEx>
          <w:tblCellMar>
            <w:top w:w="0" w:type="dxa"/>
            <w:left w:w="108" w:type="dxa"/>
            <w:bottom w:w="0" w:type="dxa"/>
            <w:right w:w="108" w:type="dxa"/>
          </w:tblCellMar>
        </w:tblPrEx>
        <w:trPr>
          <w:trHeight w:val="76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177</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区应急管理局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危险化学品经营许可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区应急管理局（受市应急管理局委托实施）；区应急管理局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《危险化学品安全管理条例》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《危险化学品经营许可证管理办法》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《济南市人民政府关于调整实施部分市级行政权力事项的决定》（市政府令第272号）</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178</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区应急管理局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生产、储存烟花爆竹建设项目安全设施设计审查</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区应急管理局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《中华人民共和国安全生产法》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《建设项目安全设施“三同时”监督管理办法》</w:t>
            </w:r>
          </w:p>
        </w:tc>
      </w:tr>
      <w:tr>
        <w:tblPrEx>
          <w:tblCellMar>
            <w:top w:w="0" w:type="dxa"/>
            <w:left w:w="108" w:type="dxa"/>
            <w:bottom w:w="0" w:type="dxa"/>
            <w:right w:w="108" w:type="dxa"/>
          </w:tblCellMar>
        </w:tblPrEx>
        <w:trPr>
          <w:trHeight w:val="1498"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179</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区应急管理局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烟花爆竹经营许可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区应急管理局（受市应急管理局委托实施）；区应急管理局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《烟花爆竹安全管理条例》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《烟花爆竹经营许可实施办法》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《济南市人民政府关于调整实施部分市级行政权力事项的决定》（市政府令第272号）</w:t>
            </w:r>
          </w:p>
        </w:tc>
      </w:tr>
      <w:tr>
        <w:tblPrEx>
          <w:tblCellMar>
            <w:top w:w="0" w:type="dxa"/>
            <w:left w:w="108" w:type="dxa"/>
            <w:bottom w:w="0" w:type="dxa"/>
            <w:right w:w="108" w:type="dxa"/>
          </w:tblCellMar>
        </w:tblPrEx>
        <w:trPr>
          <w:trHeight w:val="3796" w:hRule="exac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180</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区应急管理局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矿山建设项目安全设施设计审查</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区应急管理局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《中华人民共和国安全生产法》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《煤矿安全监察条例》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《煤矿建设项目安全设施监察规定》</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《建设项目安全设施“三同时”监督管理办法》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《国家安全监管总局办公厅关于切实做好国家取消和下放投资审批有关建设项目安全监管工作的通知》（安监总厅政法〔2013〕120号）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《国家安全监管总局办公厅关于明确非煤矿山建设项目安全监管职责等事项的通知》（安监总厅管一〔2013〕143号）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《中华人民共和国应急管理部公告》（2021年第1号）</w:t>
            </w:r>
          </w:p>
        </w:tc>
      </w:tr>
      <w:tr>
        <w:tblPrEx>
          <w:tblCellMar>
            <w:top w:w="0" w:type="dxa"/>
            <w:left w:w="108" w:type="dxa"/>
            <w:bottom w:w="0" w:type="dxa"/>
            <w:right w:w="108" w:type="dxa"/>
          </w:tblCellMar>
        </w:tblPrEx>
        <w:trPr>
          <w:trHeight w:val="2392"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181</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区市场监督</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食品生产许可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《中华人民共和国食品安全法》</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《食品生产许可管理办法》</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2774"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182</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区市场监督</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食品经营许可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《中华人民共和国食品安全法》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《食品经营许可管理办法》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1274"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183</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区市场监督</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特种设备使用登记</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区市场监督管理局（受市市场监督管理局委托实施）</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《中华人民共和国特种设备安全法》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《特种设备安全监察条例》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《山东省特种设备安全条例》</w:t>
            </w:r>
          </w:p>
        </w:tc>
      </w:tr>
      <w:tr>
        <w:tblPrEx>
          <w:tblCellMar>
            <w:top w:w="0" w:type="dxa"/>
            <w:left w:w="108" w:type="dxa"/>
            <w:bottom w:w="0" w:type="dxa"/>
            <w:right w:w="108" w:type="dxa"/>
          </w:tblCellMar>
        </w:tblPrEx>
        <w:trPr>
          <w:trHeight w:val="1613"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184</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区市场监督</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特种设备安全管理和作业人员资格认定</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区市场监督管理局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《中华人民共和国特种设备安全法》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《特种设备安全监察条例》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《特种设备作业人员监督管理办法》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《国家职业资格目录（2021年版）》</w:t>
            </w:r>
          </w:p>
        </w:tc>
      </w:tr>
      <w:tr>
        <w:tblPrEx>
          <w:tblCellMar>
            <w:top w:w="0" w:type="dxa"/>
            <w:left w:w="108" w:type="dxa"/>
            <w:bottom w:w="0" w:type="dxa"/>
            <w:right w:w="108" w:type="dxa"/>
          </w:tblCellMar>
        </w:tblPrEx>
        <w:trPr>
          <w:trHeight w:val="2032"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185</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区市场监督</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计量标准器具核准</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《中华人民共和国计量法》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《中华人民共和国计量法实施细则》</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《计量标准考核办法》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255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186</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区市场监督</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企业登记注册</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《中华人民共和国公司法》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《中华人民共和国合伙企业法》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《中华人民共和国个人独资企业法》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《中华人民共和国外商投资法》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《中华人民共和国市场主体登记管理条例》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《中华人民共和国外商投资法实施条例》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《中华人民共和国市场主体登记管理条例实施细则》</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153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187</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区市场监督</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个体工商户登记注册</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《中华人民共和国市场主体登记管理条例》</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《促进个体工商户发展条例》</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《中华人民共和国市场主体登记管理条例实施细则》</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153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188</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区市场监督</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农民专业合作社登记注册</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《中华人民共和国农民专业合作社法》</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《中华人民共和国市场主体登记管理条例》</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《中华人民共和国市场主体登记管理条例实施细则》</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2491"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189</w:t>
            </w:r>
          </w:p>
        </w:tc>
        <w:tc>
          <w:tcPr>
            <w:tcW w:w="676"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区市场监督</w:t>
            </w:r>
          </w:p>
          <w:p>
            <w:pPr>
              <w:spacing w:line="34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食品小作坊、小餐饮登记</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32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《山东省食品小作坊小餐饮和食品摊点管理条例》</w:t>
            </w:r>
          </w:p>
          <w:p>
            <w:pPr>
              <w:spacing w:line="32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spacing w:line="32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2971"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190</w:t>
            </w:r>
          </w:p>
        </w:tc>
        <w:tc>
          <w:tcPr>
            <w:tcW w:w="676"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区市场监督</w:t>
            </w:r>
          </w:p>
          <w:p>
            <w:pPr>
              <w:spacing w:line="34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药品零售企业筹建审批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32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《中华人民共和国药品管理法》</w:t>
            </w:r>
          </w:p>
          <w:p>
            <w:pPr>
              <w:spacing w:line="32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《中华人民共和国药品管理法实施条例》</w:t>
            </w:r>
          </w:p>
          <w:p>
            <w:pPr>
              <w:spacing w:line="32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《济南市人民政府关于调整实施部分市级行政权力事项的决定》（市政府令第272号）</w:t>
            </w:r>
          </w:p>
          <w:p>
            <w:pPr>
              <w:spacing w:line="32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《中共济南市历下区委办公室 济南市历下区人民政府办公室关于印发〈济南市历下区推进相对集中行政许可权组建区行政审批服务局改革方案〉的通知》（历下办发〔2018〕52号）</w:t>
            </w:r>
          </w:p>
        </w:tc>
      </w:tr>
      <w:tr>
        <w:tblPrEx>
          <w:tblCellMar>
            <w:top w:w="0" w:type="dxa"/>
            <w:left w:w="108" w:type="dxa"/>
            <w:bottom w:w="0" w:type="dxa"/>
            <w:right w:w="108" w:type="dxa"/>
          </w:tblCellMar>
        </w:tblPrEx>
        <w:trPr>
          <w:trHeight w:val="2526"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191</w:t>
            </w:r>
          </w:p>
        </w:tc>
        <w:tc>
          <w:tcPr>
            <w:tcW w:w="676"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区市场监督</w:t>
            </w:r>
          </w:p>
          <w:p>
            <w:pPr>
              <w:spacing w:line="34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药品零售企业经营许可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32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《中华人民共和国药品管理法》</w:t>
            </w:r>
          </w:p>
          <w:p>
            <w:pPr>
              <w:spacing w:line="32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《中华人民共和国药品管理法实施条例》</w:t>
            </w:r>
          </w:p>
          <w:p>
            <w:pPr>
              <w:spacing w:line="32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《中共济南市历下区委办公室 济南市历下区人民政府办公室关于印发〈济南市历下区推进相对集中行政许可权组建区行政审批服务局改革方案〉的通知》（历下办发〔2018〕52号）</w:t>
            </w:r>
          </w:p>
        </w:tc>
      </w:tr>
      <w:tr>
        <w:tblPrEx>
          <w:tblCellMar>
            <w:top w:w="0" w:type="dxa"/>
            <w:left w:w="108" w:type="dxa"/>
            <w:bottom w:w="0" w:type="dxa"/>
            <w:right w:w="108" w:type="dxa"/>
          </w:tblCellMar>
        </w:tblPrEx>
        <w:trPr>
          <w:trHeight w:val="1144"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192</w:t>
            </w:r>
          </w:p>
        </w:tc>
        <w:tc>
          <w:tcPr>
            <w:tcW w:w="676"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区市场监督</w:t>
            </w:r>
          </w:p>
          <w:p>
            <w:pPr>
              <w:spacing w:line="34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第二类精神药品零售业务审批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区行政审批服务局（受市行政审批服务局委托实施）</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《中华人民共和国禁毒法》</w:t>
            </w:r>
          </w:p>
          <w:p>
            <w:pPr>
              <w:spacing w:line="34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《麻醉药品和精神药品管理条例》</w:t>
            </w:r>
          </w:p>
          <w:p>
            <w:pPr>
              <w:spacing w:line="34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spacing w:line="34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《济南市人民政府关于调整实施部分市级行政权力事项的决定》（市政府令第272号）</w:t>
            </w:r>
          </w:p>
        </w:tc>
      </w:tr>
      <w:tr>
        <w:tblPrEx>
          <w:tblCellMar>
            <w:top w:w="0" w:type="dxa"/>
            <w:left w:w="108" w:type="dxa"/>
            <w:bottom w:w="0" w:type="dxa"/>
            <w:right w:w="108" w:type="dxa"/>
          </w:tblCellMar>
        </w:tblPrEx>
        <w:trPr>
          <w:trHeight w:val="2662" w:hRule="exac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193</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区市场监督</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医疗用毒性药品零售企业许可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区行政审批服务局（受市行政审批服务局委托实施）</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《医疗用毒性药品管理办法》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《济南市人民政府关于调整实施部分市级行政权力事项的决定》（市政府令第272号）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27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194</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区市场监督</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科研和教学用毒性药品购买审批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区市场监督管理局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《医疗用毒性药品管理办法》</w:t>
            </w:r>
          </w:p>
        </w:tc>
      </w:tr>
      <w:tr>
        <w:tblPrEx>
          <w:tblCellMar>
            <w:top w:w="0" w:type="dxa"/>
            <w:left w:w="108" w:type="dxa"/>
            <w:bottom w:w="0" w:type="dxa"/>
            <w:right w:w="108" w:type="dxa"/>
          </w:tblCellMar>
        </w:tblPrEx>
        <w:trPr>
          <w:trHeight w:val="127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195</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区教育和体育局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举办健身气功活动及设立站点审批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《国务院对确需保留的行政审批项目设定行政许可的决定》</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《健身气功管理办法》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127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196</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区教育和体育局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高危险性体育项目经营许可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《中华人民共和国体育法》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《全民健身条例》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27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197</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区教育和体育局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临时占用公共体育场地设施审批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区教育和体育局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《中华人民共和国体育法》</w:t>
            </w:r>
          </w:p>
        </w:tc>
      </w:tr>
      <w:tr>
        <w:tblPrEx>
          <w:tblCellMar>
            <w:top w:w="0" w:type="dxa"/>
            <w:left w:w="108" w:type="dxa"/>
            <w:bottom w:w="0" w:type="dxa"/>
            <w:right w:w="108" w:type="dxa"/>
          </w:tblCellMar>
        </w:tblPrEx>
        <w:trPr>
          <w:trHeight w:val="76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198</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区教育和体育局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举办高危险性体育赛事活动许可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《中华人民共和国体育法》</w:t>
            </w:r>
          </w:p>
          <w:p>
            <w:pPr>
              <w:spacing w:line="26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《中共济南市历下区委办公室 济南市历下区人民政府办公室关于印发〈济南市历下区推进相对集中行政许可权组建区行政审批服务局改革方案〉的通知》（历下办发〔2018〕52号）</w:t>
            </w:r>
          </w:p>
        </w:tc>
      </w:tr>
      <w:tr>
        <w:tblPrEx>
          <w:tblCellMar>
            <w:top w:w="0" w:type="dxa"/>
            <w:left w:w="108" w:type="dxa"/>
            <w:bottom w:w="0" w:type="dxa"/>
            <w:right w:w="108" w:type="dxa"/>
          </w:tblCellMar>
        </w:tblPrEx>
        <w:trPr>
          <w:trHeight w:val="27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199</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区地方金融监督管理局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农民专业合作社开展信用互助业务审批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区地方金融监督管理局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《山东省地方金融条例》</w:t>
            </w:r>
          </w:p>
        </w:tc>
      </w:tr>
      <w:tr>
        <w:tblPrEx>
          <w:tblCellMar>
            <w:top w:w="0" w:type="dxa"/>
            <w:left w:w="108" w:type="dxa"/>
            <w:bottom w:w="0" w:type="dxa"/>
            <w:right w:w="108" w:type="dxa"/>
          </w:tblCellMar>
        </w:tblPrEx>
        <w:trPr>
          <w:trHeight w:val="2973" w:hRule="exac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区应急管理局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一般工程抗震设防要求审定</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《山东省防震减灾条例》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《山东省建设工程抗震设防条例》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2420" w:hRule="exac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201</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区应急管理局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地震观测环境保护范围内建设工程项目审批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《山东省地震监测设施与地震观测环境保护条例》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102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202</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区委统战部</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（区民族宗教事务局）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宗教活动场所筹备设立审批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区委统战部（区民族宗教事务局）（初审省民族宗教委事权事项）；区委统战部（区民族宗教事务局）（初审市民族宗教事务局事权事项）</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《宗教事务条例》</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203</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区委统战部</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（区民族宗教事务局）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宗教活动场所设立、变更、注销登记</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区委统战部（区民族宗教事务局）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《宗教事务条例》</w:t>
            </w:r>
          </w:p>
        </w:tc>
      </w:tr>
      <w:tr>
        <w:tblPrEx>
          <w:tblCellMar>
            <w:top w:w="0" w:type="dxa"/>
            <w:left w:w="108" w:type="dxa"/>
            <w:bottom w:w="0" w:type="dxa"/>
            <w:right w:w="108" w:type="dxa"/>
          </w:tblCellMar>
        </w:tblPrEx>
        <w:trPr>
          <w:trHeight w:val="2622"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204</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区委统战部</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（区民族宗教事务局）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宗教活动场所内改建或者新建建筑物许可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区委统战部（区民族宗教事务局）（初审省民族宗教委事权事项）；区委统战部（区民族宗教事务局）（初审市民族宗教事务局事权事项）；区委统战部（区民族宗教事务局）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《宗教事务条例》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《宗教事务部分行政许可项目实施办法》（国宗发〔2018〕11号）</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205</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区委统战部</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（区民族宗教事务局）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宗教临时活动地点审批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区委统战部（区民族宗教事务局）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《宗教事务条例》</w:t>
            </w:r>
          </w:p>
        </w:tc>
      </w:tr>
      <w:tr>
        <w:tblPrEx>
          <w:tblCellMar>
            <w:top w:w="0" w:type="dxa"/>
            <w:left w:w="108" w:type="dxa"/>
            <w:bottom w:w="0" w:type="dxa"/>
            <w:right w:w="108" w:type="dxa"/>
          </w:tblCellMar>
        </w:tblPrEx>
        <w:trPr>
          <w:trHeight w:val="76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206</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区委统战部</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（区民族宗教事务局）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宗教团体、宗教院校、宗教活动场所接受境外捐赠审批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区委统战部（区民族宗教事务局）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《宗教事务条例》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《宗教事务部分行政许可项目实施办法》（国宗发〔2018〕11号）</w:t>
            </w:r>
          </w:p>
        </w:tc>
      </w:tr>
      <w:tr>
        <w:tblPrEx>
          <w:tblCellMar>
            <w:top w:w="0" w:type="dxa"/>
            <w:left w:w="108" w:type="dxa"/>
            <w:bottom w:w="0" w:type="dxa"/>
            <w:right w:w="108" w:type="dxa"/>
          </w:tblCellMar>
        </w:tblPrEx>
        <w:trPr>
          <w:trHeight w:val="1275"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207</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区委统战部</w:t>
            </w:r>
          </w:p>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（区侨办）</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华侨回国定居审批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区行政审批服务局（初审市行政审批服务局事权事项）</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《中华人民共和国出境入境管理法》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《华侨回国定居办理工作规定》（国侨发〔2013〕18号）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《山东省人民政府办公厅关于深化相对集中行政许可权改革规范市县级行政审批服务工作的意见》（鲁政办字〔2020〕85号）</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《济南市历下区人民政府关于公布区级行政权力划转事项清单的通知》（历下政字〔2020〕30号）</w:t>
            </w:r>
          </w:p>
        </w:tc>
      </w:tr>
      <w:tr>
        <w:tblPrEx>
          <w:tblCellMar>
            <w:top w:w="0" w:type="dxa"/>
            <w:left w:w="108" w:type="dxa"/>
            <w:bottom w:w="0" w:type="dxa"/>
            <w:right w:w="108" w:type="dxa"/>
          </w:tblCellMar>
        </w:tblPrEx>
        <w:trPr>
          <w:trHeight w:val="27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208</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区档案局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延期移交档案审批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区档案局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《中华人民共和国档案法实施办法》</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209</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区委编办</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事业单位登记</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区事业单位登记监管局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《事业单位登记管理暂行条例》</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《事业单位登记管理暂行条例实施细则》（中央编办发〔2014〕4号）</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210</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历下区消防救援大队</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公众聚集场所投入使用、营业前消防安全检查</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历下区消防救援大队</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《中华人民共和国消防法》</w:t>
            </w:r>
          </w:p>
        </w:tc>
      </w:tr>
      <w:tr>
        <w:tblPrEx>
          <w:tblCellMar>
            <w:top w:w="0" w:type="dxa"/>
            <w:left w:w="108" w:type="dxa"/>
            <w:bottom w:w="0" w:type="dxa"/>
            <w:right w:w="108" w:type="dxa"/>
          </w:tblCellMar>
        </w:tblPrEx>
        <w:trPr>
          <w:trHeight w:val="27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211</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历下区税务局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增值税防伪税控系统最高开票限额审批</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历下区税务局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《国务院对确需保留的行政审批项目设定行政许可的决定》</w:t>
            </w:r>
          </w:p>
        </w:tc>
      </w:tr>
      <w:tr>
        <w:tblPrEx>
          <w:tblCellMar>
            <w:top w:w="0" w:type="dxa"/>
            <w:left w:w="108" w:type="dxa"/>
            <w:bottom w:w="0" w:type="dxa"/>
            <w:right w:w="108" w:type="dxa"/>
          </w:tblCellMar>
        </w:tblPrEx>
        <w:trPr>
          <w:trHeight w:val="510" w:hRule="atLeast"/>
          <w:jc w:val="center"/>
        </w:trPr>
        <w:tc>
          <w:tcPr>
            <w:tcW w:w="26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212</w:t>
            </w:r>
          </w:p>
        </w:tc>
        <w:tc>
          <w:tcPr>
            <w:tcW w:w="676" w:type="pct"/>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历下区烟草专卖局</w:t>
            </w:r>
          </w:p>
        </w:tc>
        <w:tc>
          <w:tcPr>
            <w:tcW w:w="875"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烟草专卖零售许可</w:t>
            </w:r>
          </w:p>
        </w:tc>
        <w:tc>
          <w:tcPr>
            <w:tcW w:w="914"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历下区烟草专卖局</w:t>
            </w:r>
          </w:p>
        </w:tc>
        <w:tc>
          <w:tcPr>
            <w:tcW w:w="2270" w:type="pct"/>
            <w:tcBorders>
              <w:top w:val="single" w:color="auto" w:sz="6" w:space="0"/>
              <w:left w:val="single" w:color="auto" w:sz="6" w:space="0"/>
              <w:bottom w:val="single" w:color="auto" w:sz="6" w:space="0"/>
              <w:right w:val="single" w:color="auto" w:sz="6" w:space="0"/>
            </w:tcBorders>
            <w:noWrap w:val="0"/>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《中华人民共和国烟草专卖法》</w:t>
            </w:r>
          </w:p>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《中华人民共和国烟草专卖法实施条例》</w:t>
            </w:r>
          </w:p>
        </w:tc>
      </w:tr>
    </w:tbl>
    <w:p>
      <w:pPr>
        <w:spacing w:line="20" w:lineRule="exact"/>
        <w:rPr>
          <w:rStyle w:val="32"/>
          <w:rFonts w:ascii="仿宋_GB2312" w:hAnsi="仿宋_GB2312" w:eastAsia="仿宋_GB2312" w:cs="仿宋_GB2312"/>
          <w:sz w:val="32"/>
          <w:szCs w:val="32"/>
        </w:rPr>
        <w:sectPr>
          <w:footerReference r:id="rId3" w:type="default"/>
          <w:footerReference r:id="rId4" w:type="even"/>
          <w:pgSz w:w="16838" w:h="11906" w:orient="landscape"/>
          <w:pgMar w:top="1588" w:right="2098" w:bottom="1588" w:left="2098" w:header="851" w:footer="1247" w:gutter="0"/>
          <w:pgNumType w:fmt="numberInDash"/>
          <w:cols w:space="425" w:num="1"/>
          <w:docGrid w:type="lines" w:linePitch="312" w:charSpace="0"/>
        </w:sectPr>
      </w:pPr>
    </w:p>
    <w:p>
      <w:pPr>
        <w:tabs>
          <w:tab w:val="left" w:pos="7920"/>
          <w:tab w:val="left" w:pos="8460"/>
        </w:tabs>
        <w:snapToGrid w:val="0"/>
        <w:spacing w:line="560" w:lineRule="exact"/>
        <w:rPr>
          <w:rFonts w:hint="eastAsia" w:ascii="仿宋" w:hAnsi="仿宋" w:eastAsia="仿宋"/>
          <w:sz w:val="32"/>
          <w:szCs w:val="32"/>
        </w:rPr>
      </w:pPr>
    </w:p>
    <w:sectPr>
      <w:footerReference r:id="rId5" w:type="default"/>
      <w:pgSz w:w="11906" w:h="16838"/>
      <w:pgMar w:top="2098" w:right="1588" w:bottom="2098" w:left="1588" w:header="851" w:footer="1644"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lt;p&g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28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hyphenationZone w:val="360"/>
  <w:doNotHyphenateCaps/>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zZmZlZDNhMzZhNTczMDUyOTkyNWQ3NTJkNmRhMzAifQ=="/>
  </w:docVars>
  <w:rsids>
    <w:rsidRoot w:val="006C56B0"/>
    <w:rsid w:val="00003767"/>
    <w:rsid w:val="00011966"/>
    <w:rsid w:val="00013F62"/>
    <w:rsid w:val="00024F4E"/>
    <w:rsid w:val="000446A6"/>
    <w:rsid w:val="000457BB"/>
    <w:rsid w:val="0006783A"/>
    <w:rsid w:val="00071789"/>
    <w:rsid w:val="00073855"/>
    <w:rsid w:val="00074505"/>
    <w:rsid w:val="00074F80"/>
    <w:rsid w:val="00080AEA"/>
    <w:rsid w:val="00085774"/>
    <w:rsid w:val="00085F06"/>
    <w:rsid w:val="0008659A"/>
    <w:rsid w:val="0009287E"/>
    <w:rsid w:val="000A0C3C"/>
    <w:rsid w:val="000C6A60"/>
    <w:rsid w:val="000D5E5B"/>
    <w:rsid w:val="000E48BC"/>
    <w:rsid w:val="000E5FF7"/>
    <w:rsid w:val="000E69CA"/>
    <w:rsid w:val="000F413C"/>
    <w:rsid w:val="000F66C6"/>
    <w:rsid w:val="000F7608"/>
    <w:rsid w:val="000F7AE3"/>
    <w:rsid w:val="00101F98"/>
    <w:rsid w:val="00103049"/>
    <w:rsid w:val="00110502"/>
    <w:rsid w:val="00111D1D"/>
    <w:rsid w:val="00115F57"/>
    <w:rsid w:val="00120AE5"/>
    <w:rsid w:val="00120E0B"/>
    <w:rsid w:val="001228F8"/>
    <w:rsid w:val="00132EA8"/>
    <w:rsid w:val="00142BAF"/>
    <w:rsid w:val="0016099F"/>
    <w:rsid w:val="00173834"/>
    <w:rsid w:val="001750D4"/>
    <w:rsid w:val="00175711"/>
    <w:rsid w:val="00186B28"/>
    <w:rsid w:val="00190767"/>
    <w:rsid w:val="001A0E8B"/>
    <w:rsid w:val="001A23FD"/>
    <w:rsid w:val="001B6BF5"/>
    <w:rsid w:val="001B7255"/>
    <w:rsid w:val="001C4308"/>
    <w:rsid w:val="001C76CC"/>
    <w:rsid w:val="001E2285"/>
    <w:rsid w:val="001E3B18"/>
    <w:rsid w:val="001F0CB8"/>
    <w:rsid w:val="001F3A8F"/>
    <w:rsid w:val="001F3B92"/>
    <w:rsid w:val="001F5522"/>
    <w:rsid w:val="001F74B8"/>
    <w:rsid w:val="00241F71"/>
    <w:rsid w:val="00245726"/>
    <w:rsid w:val="00247767"/>
    <w:rsid w:val="0024798D"/>
    <w:rsid w:val="00250E7D"/>
    <w:rsid w:val="00254EBE"/>
    <w:rsid w:val="00261C81"/>
    <w:rsid w:val="002862FB"/>
    <w:rsid w:val="002962E1"/>
    <w:rsid w:val="002A1695"/>
    <w:rsid w:val="002A256C"/>
    <w:rsid w:val="002B33B2"/>
    <w:rsid w:val="002B3C1E"/>
    <w:rsid w:val="002C0EF3"/>
    <w:rsid w:val="002C39B4"/>
    <w:rsid w:val="002C44DE"/>
    <w:rsid w:val="002C5A5A"/>
    <w:rsid w:val="002C6DEB"/>
    <w:rsid w:val="002D2A1A"/>
    <w:rsid w:val="002E05E0"/>
    <w:rsid w:val="002E36F3"/>
    <w:rsid w:val="002F14DA"/>
    <w:rsid w:val="00312E65"/>
    <w:rsid w:val="00315124"/>
    <w:rsid w:val="00315C1C"/>
    <w:rsid w:val="00317B9C"/>
    <w:rsid w:val="00321E72"/>
    <w:rsid w:val="00326BDD"/>
    <w:rsid w:val="0033218B"/>
    <w:rsid w:val="00340C66"/>
    <w:rsid w:val="003464C1"/>
    <w:rsid w:val="003466E7"/>
    <w:rsid w:val="0035088E"/>
    <w:rsid w:val="00351A91"/>
    <w:rsid w:val="00353113"/>
    <w:rsid w:val="00356DBC"/>
    <w:rsid w:val="0036797D"/>
    <w:rsid w:val="003707B6"/>
    <w:rsid w:val="00370F68"/>
    <w:rsid w:val="003749DA"/>
    <w:rsid w:val="00380B4D"/>
    <w:rsid w:val="0038653B"/>
    <w:rsid w:val="00391EEB"/>
    <w:rsid w:val="003A0114"/>
    <w:rsid w:val="003A13F6"/>
    <w:rsid w:val="003A169C"/>
    <w:rsid w:val="003A48DE"/>
    <w:rsid w:val="003A60E4"/>
    <w:rsid w:val="003B5AD8"/>
    <w:rsid w:val="003B666E"/>
    <w:rsid w:val="003C4E63"/>
    <w:rsid w:val="003C4EC5"/>
    <w:rsid w:val="003C6620"/>
    <w:rsid w:val="003D0568"/>
    <w:rsid w:val="003D11A0"/>
    <w:rsid w:val="003D41DF"/>
    <w:rsid w:val="003D4B4E"/>
    <w:rsid w:val="003E6374"/>
    <w:rsid w:val="003F35E1"/>
    <w:rsid w:val="00407CE6"/>
    <w:rsid w:val="00411376"/>
    <w:rsid w:val="00411514"/>
    <w:rsid w:val="0041495B"/>
    <w:rsid w:val="0041570A"/>
    <w:rsid w:val="004238C0"/>
    <w:rsid w:val="004278C3"/>
    <w:rsid w:val="004363A1"/>
    <w:rsid w:val="004532AE"/>
    <w:rsid w:val="00455045"/>
    <w:rsid w:val="00455FB6"/>
    <w:rsid w:val="00463F0E"/>
    <w:rsid w:val="00466F90"/>
    <w:rsid w:val="00470B5F"/>
    <w:rsid w:val="00474D18"/>
    <w:rsid w:val="0047508E"/>
    <w:rsid w:val="00481633"/>
    <w:rsid w:val="0048702F"/>
    <w:rsid w:val="00490FC0"/>
    <w:rsid w:val="004944FA"/>
    <w:rsid w:val="00497B21"/>
    <w:rsid w:val="004A1378"/>
    <w:rsid w:val="004A285D"/>
    <w:rsid w:val="004A7EDF"/>
    <w:rsid w:val="004B578D"/>
    <w:rsid w:val="004B5AAD"/>
    <w:rsid w:val="004C341A"/>
    <w:rsid w:val="004C45DB"/>
    <w:rsid w:val="004E0898"/>
    <w:rsid w:val="004E0BBA"/>
    <w:rsid w:val="004E6340"/>
    <w:rsid w:val="004E66F7"/>
    <w:rsid w:val="004F0CDB"/>
    <w:rsid w:val="004F7CD5"/>
    <w:rsid w:val="004F7FD9"/>
    <w:rsid w:val="00515FFA"/>
    <w:rsid w:val="00517268"/>
    <w:rsid w:val="00520664"/>
    <w:rsid w:val="005232E2"/>
    <w:rsid w:val="00530882"/>
    <w:rsid w:val="00533469"/>
    <w:rsid w:val="005435B5"/>
    <w:rsid w:val="00556BCE"/>
    <w:rsid w:val="005646B8"/>
    <w:rsid w:val="00576E55"/>
    <w:rsid w:val="00577125"/>
    <w:rsid w:val="005773A6"/>
    <w:rsid w:val="00584BE5"/>
    <w:rsid w:val="0058568E"/>
    <w:rsid w:val="00586E66"/>
    <w:rsid w:val="005A1049"/>
    <w:rsid w:val="005A3F08"/>
    <w:rsid w:val="005A59B2"/>
    <w:rsid w:val="005B3CF2"/>
    <w:rsid w:val="005C088E"/>
    <w:rsid w:val="005D7E70"/>
    <w:rsid w:val="005E1F97"/>
    <w:rsid w:val="005E3947"/>
    <w:rsid w:val="005E4644"/>
    <w:rsid w:val="006140DF"/>
    <w:rsid w:val="006207A6"/>
    <w:rsid w:val="00623890"/>
    <w:rsid w:val="00623895"/>
    <w:rsid w:val="00627189"/>
    <w:rsid w:val="00636F53"/>
    <w:rsid w:val="00642768"/>
    <w:rsid w:val="00646051"/>
    <w:rsid w:val="0064719B"/>
    <w:rsid w:val="00651DE2"/>
    <w:rsid w:val="00662CA1"/>
    <w:rsid w:val="00670901"/>
    <w:rsid w:val="0068411A"/>
    <w:rsid w:val="006976F8"/>
    <w:rsid w:val="006A0F22"/>
    <w:rsid w:val="006A5983"/>
    <w:rsid w:val="006B1847"/>
    <w:rsid w:val="006C531B"/>
    <w:rsid w:val="006C56B0"/>
    <w:rsid w:val="006D0EBD"/>
    <w:rsid w:val="006D6C09"/>
    <w:rsid w:val="006D6FA0"/>
    <w:rsid w:val="006E6251"/>
    <w:rsid w:val="006E683F"/>
    <w:rsid w:val="006F3678"/>
    <w:rsid w:val="006F645A"/>
    <w:rsid w:val="00711FA6"/>
    <w:rsid w:val="00713675"/>
    <w:rsid w:val="00714118"/>
    <w:rsid w:val="00720466"/>
    <w:rsid w:val="00726BAA"/>
    <w:rsid w:val="00735F99"/>
    <w:rsid w:val="007415C3"/>
    <w:rsid w:val="00741A7E"/>
    <w:rsid w:val="00747718"/>
    <w:rsid w:val="00750E8C"/>
    <w:rsid w:val="00761F81"/>
    <w:rsid w:val="00763F9A"/>
    <w:rsid w:val="00764CFA"/>
    <w:rsid w:val="00774E3D"/>
    <w:rsid w:val="00775E1F"/>
    <w:rsid w:val="0078557C"/>
    <w:rsid w:val="00786D17"/>
    <w:rsid w:val="00791745"/>
    <w:rsid w:val="0079565D"/>
    <w:rsid w:val="007A1E28"/>
    <w:rsid w:val="007A1FE6"/>
    <w:rsid w:val="007A6068"/>
    <w:rsid w:val="007B478E"/>
    <w:rsid w:val="007C065D"/>
    <w:rsid w:val="007C1F04"/>
    <w:rsid w:val="007C2DEB"/>
    <w:rsid w:val="007C419E"/>
    <w:rsid w:val="007C5D15"/>
    <w:rsid w:val="007C79CD"/>
    <w:rsid w:val="007D37E5"/>
    <w:rsid w:val="007D616D"/>
    <w:rsid w:val="007E090F"/>
    <w:rsid w:val="007E37C1"/>
    <w:rsid w:val="007E40AF"/>
    <w:rsid w:val="007E5271"/>
    <w:rsid w:val="007F4E32"/>
    <w:rsid w:val="007F660F"/>
    <w:rsid w:val="007F67C8"/>
    <w:rsid w:val="007F7B69"/>
    <w:rsid w:val="008014BE"/>
    <w:rsid w:val="008055BA"/>
    <w:rsid w:val="0081677F"/>
    <w:rsid w:val="00847296"/>
    <w:rsid w:val="008474FC"/>
    <w:rsid w:val="00847FD2"/>
    <w:rsid w:val="0085149C"/>
    <w:rsid w:val="00854FA8"/>
    <w:rsid w:val="008558F5"/>
    <w:rsid w:val="00860F50"/>
    <w:rsid w:val="00864B5A"/>
    <w:rsid w:val="00866BDB"/>
    <w:rsid w:val="00872635"/>
    <w:rsid w:val="00874022"/>
    <w:rsid w:val="00877E4E"/>
    <w:rsid w:val="00882DB5"/>
    <w:rsid w:val="00885B46"/>
    <w:rsid w:val="00890E66"/>
    <w:rsid w:val="00891266"/>
    <w:rsid w:val="00893451"/>
    <w:rsid w:val="008972D1"/>
    <w:rsid w:val="00897541"/>
    <w:rsid w:val="00897EB7"/>
    <w:rsid w:val="008A12BA"/>
    <w:rsid w:val="008E0E16"/>
    <w:rsid w:val="008E0EE7"/>
    <w:rsid w:val="008E1C05"/>
    <w:rsid w:val="008E34E5"/>
    <w:rsid w:val="008F37DA"/>
    <w:rsid w:val="008F6B39"/>
    <w:rsid w:val="00901171"/>
    <w:rsid w:val="00901D05"/>
    <w:rsid w:val="00911403"/>
    <w:rsid w:val="0091430B"/>
    <w:rsid w:val="00914620"/>
    <w:rsid w:val="009161A5"/>
    <w:rsid w:val="00917F6E"/>
    <w:rsid w:val="00923CC7"/>
    <w:rsid w:val="009244AD"/>
    <w:rsid w:val="00927D8A"/>
    <w:rsid w:val="0093071E"/>
    <w:rsid w:val="009332FA"/>
    <w:rsid w:val="00936C61"/>
    <w:rsid w:val="00942D8F"/>
    <w:rsid w:val="00957F6C"/>
    <w:rsid w:val="009647FD"/>
    <w:rsid w:val="0096523F"/>
    <w:rsid w:val="00965C10"/>
    <w:rsid w:val="00967F74"/>
    <w:rsid w:val="00970169"/>
    <w:rsid w:val="00970B75"/>
    <w:rsid w:val="00970C55"/>
    <w:rsid w:val="0097576A"/>
    <w:rsid w:val="00981036"/>
    <w:rsid w:val="00983D2E"/>
    <w:rsid w:val="00984E93"/>
    <w:rsid w:val="009864A2"/>
    <w:rsid w:val="00987E2A"/>
    <w:rsid w:val="00992B48"/>
    <w:rsid w:val="009931CA"/>
    <w:rsid w:val="00993C4D"/>
    <w:rsid w:val="009941B9"/>
    <w:rsid w:val="009A2E50"/>
    <w:rsid w:val="009C242A"/>
    <w:rsid w:val="009C5616"/>
    <w:rsid w:val="009C5C48"/>
    <w:rsid w:val="009C624B"/>
    <w:rsid w:val="009D0CF0"/>
    <w:rsid w:val="009D4FA8"/>
    <w:rsid w:val="009D61D8"/>
    <w:rsid w:val="009D7A71"/>
    <w:rsid w:val="009E0F27"/>
    <w:rsid w:val="009E2372"/>
    <w:rsid w:val="009F6636"/>
    <w:rsid w:val="00A03D83"/>
    <w:rsid w:val="00A04316"/>
    <w:rsid w:val="00A04952"/>
    <w:rsid w:val="00A1060F"/>
    <w:rsid w:val="00A27D12"/>
    <w:rsid w:val="00A309E3"/>
    <w:rsid w:val="00A47809"/>
    <w:rsid w:val="00A5329D"/>
    <w:rsid w:val="00A564EC"/>
    <w:rsid w:val="00A57EA7"/>
    <w:rsid w:val="00A8150E"/>
    <w:rsid w:val="00A83FCE"/>
    <w:rsid w:val="00A85886"/>
    <w:rsid w:val="00A91DF8"/>
    <w:rsid w:val="00A95092"/>
    <w:rsid w:val="00AA3375"/>
    <w:rsid w:val="00AA5DBB"/>
    <w:rsid w:val="00AB1E2F"/>
    <w:rsid w:val="00AC0011"/>
    <w:rsid w:val="00AC27AC"/>
    <w:rsid w:val="00AE3671"/>
    <w:rsid w:val="00AE4996"/>
    <w:rsid w:val="00AE7DC7"/>
    <w:rsid w:val="00AF4609"/>
    <w:rsid w:val="00B00900"/>
    <w:rsid w:val="00B0226E"/>
    <w:rsid w:val="00B0539F"/>
    <w:rsid w:val="00B069FD"/>
    <w:rsid w:val="00B23D80"/>
    <w:rsid w:val="00B31B86"/>
    <w:rsid w:val="00B3396D"/>
    <w:rsid w:val="00B37C3B"/>
    <w:rsid w:val="00B37E82"/>
    <w:rsid w:val="00B418A4"/>
    <w:rsid w:val="00B466BC"/>
    <w:rsid w:val="00B46C1F"/>
    <w:rsid w:val="00B528B9"/>
    <w:rsid w:val="00B609F9"/>
    <w:rsid w:val="00B61916"/>
    <w:rsid w:val="00B6566C"/>
    <w:rsid w:val="00B7525C"/>
    <w:rsid w:val="00B75EBF"/>
    <w:rsid w:val="00B87969"/>
    <w:rsid w:val="00B9445C"/>
    <w:rsid w:val="00BA03C0"/>
    <w:rsid w:val="00BA5D43"/>
    <w:rsid w:val="00BB12CA"/>
    <w:rsid w:val="00BB2770"/>
    <w:rsid w:val="00BB6326"/>
    <w:rsid w:val="00BC1BEE"/>
    <w:rsid w:val="00BC2644"/>
    <w:rsid w:val="00BC3752"/>
    <w:rsid w:val="00BC448B"/>
    <w:rsid w:val="00BD782E"/>
    <w:rsid w:val="00BE2474"/>
    <w:rsid w:val="00BE2CB4"/>
    <w:rsid w:val="00BE4FED"/>
    <w:rsid w:val="00BF3854"/>
    <w:rsid w:val="00BF7DBA"/>
    <w:rsid w:val="00C14C28"/>
    <w:rsid w:val="00C1667F"/>
    <w:rsid w:val="00C222F3"/>
    <w:rsid w:val="00C22323"/>
    <w:rsid w:val="00C33380"/>
    <w:rsid w:val="00C3718F"/>
    <w:rsid w:val="00C37B5F"/>
    <w:rsid w:val="00C41719"/>
    <w:rsid w:val="00C46273"/>
    <w:rsid w:val="00C51B29"/>
    <w:rsid w:val="00C5311C"/>
    <w:rsid w:val="00C61264"/>
    <w:rsid w:val="00C6441C"/>
    <w:rsid w:val="00C70640"/>
    <w:rsid w:val="00C714B1"/>
    <w:rsid w:val="00C72476"/>
    <w:rsid w:val="00C7421B"/>
    <w:rsid w:val="00C7592B"/>
    <w:rsid w:val="00C8463E"/>
    <w:rsid w:val="00C91F2C"/>
    <w:rsid w:val="00C92B82"/>
    <w:rsid w:val="00C959CC"/>
    <w:rsid w:val="00CA4777"/>
    <w:rsid w:val="00CA70F8"/>
    <w:rsid w:val="00CC2959"/>
    <w:rsid w:val="00CC315B"/>
    <w:rsid w:val="00CC5481"/>
    <w:rsid w:val="00CD46F4"/>
    <w:rsid w:val="00CE41A3"/>
    <w:rsid w:val="00CF27B5"/>
    <w:rsid w:val="00CF2B54"/>
    <w:rsid w:val="00D15C9F"/>
    <w:rsid w:val="00D17E64"/>
    <w:rsid w:val="00D211A0"/>
    <w:rsid w:val="00D25FB0"/>
    <w:rsid w:val="00D31018"/>
    <w:rsid w:val="00D31C3B"/>
    <w:rsid w:val="00D322AB"/>
    <w:rsid w:val="00D33DC5"/>
    <w:rsid w:val="00D441D9"/>
    <w:rsid w:val="00D508E8"/>
    <w:rsid w:val="00D549AE"/>
    <w:rsid w:val="00D66393"/>
    <w:rsid w:val="00D711B2"/>
    <w:rsid w:val="00D71421"/>
    <w:rsid w:val="00D72E1C"/>
    <w:rsid w:val="00D753D4"/>
    <w:rsid w:val="00D77981"/>
    <w:rsid w:val="00D806F8"/>
    <w:rsid w:val="00D81CD0"/>
    <w:rsid w:val="00D82929"/>
    <w:rsid w:val="00D82CA0"/>
    <w:rsid w:val="00D8656F"/>
    <w:rsid w:val="00DA19AB"/>
    <w:rsid w:val="00DA745A"/>
    <w:rsid w:val="00DB2267"/>
    <w:rsid w:val="00DB52A2"/>
    <w:rsid w:val="00DC01C3"/>
    <w:rsid w:val="00DC05EB"/>
    <w:rsid w:val="00DC4439"/>
    <w:rsid w:val="00DC63E3"/>
    <w:rsid w:val="00DD0649"/>
    <w:rsid w:val="00DE032B"/>
    <w:rsid w:val="00DF4EED"/>
    <w:rsid w:val="00DF64A6"/>
    <w:rsid w:val="00DF71BC"/>
    <w:rsid w:val="00E0636F"/>
    <w:rsid w:val="00E07C37"/>
    <w:rsid w:val="00E112AE"/>
    <w:rsid w:val="00E11DDA"/>
    <w:rsid w:val="00E120EF"/>
    <w:rsid w:val="00E15C85"/>
    <w:rsid w:val="00E22694"/>
    <w:rsid w:val="00E2514D"/>
    <w:rsid w:val="00E3007B"/>
    <w:rsid w:val="00E37D40"/>
    <w:rsid w:val="00E4186B"/>
    <w:rsid w:val="00E50405"/>
    <w:rsid w:val="00E518DB"/>
    <w:rsid w:val="00E520A4"/>
    <w:rsid w:val="00E679C7"/>
    <w:rsid w:val="00E738EB"/>
    <w:rsid w:val="00E751BB"/>
    <w:rsid w:val="00E832BE"/>
    <w:rsid w:val="00EB1F7B"/>
    <w:rsid w:val="00EC0A00"/>
    <w:rsid w:val="00EC1A31"/>
    <w:rsid w:val="00EC2BAD"/>
    <w:rsid w:val="00EC516D"/>
    <w:rsid w:val="00EC6C65"/>
    <w:rsid w:val="00ED11D2"/>
    <w:rsid w:val="00ED2D32"/>
    <w:rsid w:val="00EE5225"/>
    <w:rsid w:val="00EF04F3"/>
    <w:rsid w:val="00EF2D52"/>
    <w:rsid w:val="00EF50E4"/>
    <w:rsid w:val="00F02648"/>
    <w:rsid w:val="00F10EF3"/>
    <w:rsid w:val="00F11E84"/>
    <w:rsid w:val="00F1395B"/>
    <w:rsid w:val="00F13CCD"/>
    <w:rsid w:val="00F22285"/>
    <w:rsid w:val="00F23B20"/>
    <w:rsid w:val="00F241A1"/>
    <w:rsid w:val="00F329D9"/>
    <w:rsid w:val="00F34B2A"/>
    <w:rsid w:val="00F35BE1"/>
    <w:rsid w:val="00F41AAA"/>
    <w:rsid w:val="00F51DAA"/>
    <w:rsid w:val="00F53EE4"/>
    <w:rsid w:val="00F543AC"/>
    <w:rsid w:val="00F54929"/>
    <w:rsid w:val="00F615DC"/>
    <w:rsid w:val="00F63480"/>
    <w:rsid w:val="00F6748E"/>
    <w:rsid w:val="00F7161D"/>
    <w:rsid w:val="00F72B9B"/>
    <w:rsid w:val="00F82079"/>
    <w:rsid w:val="00F85095"/>
    <w:rsid w:val="00F85F19"/>
    <w:rsid w:val="00F93F14"/>
    <w:rsid w:val="00FA3D2A"/>
    <w:rsid w:val="00FA42BF"/>
    <w:rsid w:val="00FA49D0"/>
    <w:rsid w:val="00FA6985"/>
    <w:rsid w:val="00FB32AC"/>
    <w:rsid w:val="00FB4911"/>
    <w:rsid w:val="00FC3C49"/>
    <w:rsid w:val="00FD0E8D"/>
    <w:rsid w:val="00FD726E"/>
    <w:rsid w:val="00FE16D6"/>
    <w:rsid w:val="00FE65A0"/>
    <w:rsid w:val="36890231"/>
    <w:rsid w:val="6C60388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ocked="1"/>
    <w:lsdException w:qFormat="1" w:unhideWhenUsed="0" w:uiPriority="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qFormat="1" w:uiPriority="1"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7"/>
    <w:qFormat/>
    <w:locked/>
    <w:uiPriority w:val="1"/>
    <w:pPr>
      <w:spacing w:before="41"/>
      <w:ind w:left="720"/>
      <w:jc w:val="left"/>
      <w:outlineLvl w:val="0"/>
    </w:pPr>
    <w:rPr>
      <w:rFonts w:ascii="仿宋" w:hAnsi="仿宋" w:eastAsia="仿宋"/>
      <w:b/>
      <w:bCs/>
      <w:kern w:val="0"/>
      <w:sz w:val="30"/>
      <w:szCs w:val="30"/>
      <w:lang w:eastAsia="en-US"/>
    </w:rPr>
  </w:style>
  <w:style w:type="paragraph" w:styleId="3">
    <w:name w:val="heading 2"/>
    <w:basedOn w:val="1"/>
    <w:next w:val="1"/>
    <w:link w:val="33"/>
    <w:qFormat/>
    <w:locked/>
    <w:uiPriority w:val="9"/>
    <w:pPr>
      <w:keepNext/>
      <w:keepLines/>
      <w:spacing w:before="240" w:after="240" w:line="360" w:lineRule="auto"/>
      <w:ind w:firstLine="200" w:firstLineChars="200"/>
      <w:outlineLvl w:val="1"/>
    </w:pPr>
    <w:rPr>
      <w:rFonts w:ascii="Cambria" w:hAnsi="Cambria" w:eastAsia="黑体"/>
      <w:bCs/>
      <w:sz w:val="32"/>
      <w:szCs w:val="32"/>
    </w:rPr>
  </w:style>
  <w:style w:type="character" w:default="1" w:styleId="15">
    <w:name w:val="Default Paragraph Font"/>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index 5"/>
    <w:basedOn w:val="1"/>
    <w:next w:val="1"/>
    <w:qFormat/>
    <w:uiPriority w:val="0"/>
    <w:pPr>
      <w:widowControl/>
      <w:ind w:left="1680"/>
      <w:textAlignment w:val="baseline"/>
    </w:pPr>
    <w:rPr>
      <w:rFonts w:ascii="Calibri" w:hAnsi="Calibri"/>
      <w:szCs w:val="24"/>
    </w:rPr>
  </w:style>
  <w:style w:type="paragraph" w:styleId="5">
    <w:name w:val="Body Text"/>
    <w:basedOn w:val="1"/>
    <w:link w:val="24"/>
    <w:unhideWhenUsed/>
    <w:qFormat/>
    <w:uiPriority w:val="1"/>
    <w:pPr>
      <w:spacing w:after="120"/>
    </w:pPr>
  </w:style>
  <w:style w:type="paragraph" w:styleId="6">
    <w:name w:val="Body Text Indent"/>
    <w:basedOn w:val="1"/>
    <w:link w:val="20"/>
    <w:uiPriority w:val="99"/>
    <w:pPr>
      <w:spacing w:line="360" w:lineRule="auto"/>
      <w:ind w:firstLine="640" w:firstLineChars="200"/>
    </w:pPr>
    <w:rPr>
      <w:rFonts w:ascii="仿宋" w:eastAsia="仿宋" w:cs="仿宋"/>
      <w:sz w:val="32"/>
      <w:szCs w:val="32"/>
    </w:rPr>
  </w:style>
  <w:style w:type="paragraph" w:styleId="7">
    <w:name w:val="Date"/>
    <w:basedOn w:val="1"/>
    <w:next w:val="1"/>
    <w:link w:val="27"/>
    <w:unhideWhenUsed/>
    <w:qFormat/>
    <w:uiPriority w:val="0"/>
    <w:pPr>
      <w:ind w:left="100" w:leftChars="2500"/>
    </w:pPr>
    <w:rPr>
      <w:rFonts w:ascii="Calibri" w:hAnsi="Calibri" w:eastAsia="宋体" w:cs="Times New Roman"/>
      <w:szCs w:val="22"/>
    </w:rPr>
  </w:style>
  <w:style w:type="paragraph" w:styleId="8">
    <w:name w:val="Body Text Indent 2"/>
    <w:basedOn w:val="1"/>
    <w:link w:val="34"/>
    <w:semiHidden/>
    <w:unhideWhenUsed/>
    <w:qFormat/>
    <w:uiPriority w:val="99"/>
    <w:pPr>
      <w:spacing w:after="120" w:line="480" w:lineRule="auto"/>
      <w:ind w:left="420" w:leftChars="200"/>
    </w:pPr>
  </w:style>
  <w:style w:type="paragraph" w:styleId="9">
    <w:name w:val="Balloon Text"/>
    <w:basedOn w:val="1"/>
    <w:link w:val="19"/>
    <w:qFormat/>
    <w:uiPriority w:val="0"/>
    <w:rPr>
      <w:sz w:val="18"/>
      <w:szCs w:val="18"/>
    </w:rPr>
  </w:style>
  <w:style w:type="paragraph" w:styleId="10">
    <w:name w:val="footer"/>
    <w:basedOn w:val="1"/>
    <w:link w:val="21"/>
    <w:qFormat/>
    <w:uiPriority w:val="99"/>
    <w:pPr>
      <w:tabs>
        <w:tab w:val="center" w:pos="4153"/>
        <w:tab w:val="right" w:pos="8306"/>
      </w:tabs>
      <w:snapToGrid w:val="0"/>
      <w:jc w:val="left"/>
    </w:pPr>
    <w:rPr>
      <w:sz w:val="18"/>
      <w:szCs w:val="18"/>
    </w:rPr>
  </w:style>
  <w:style w:type="paragraph" w:styleId="11">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autoSpaceDE w:val="0"/>
      <w:autoSpaceDN w:val="0"/>
      <w:spacing w:before="100" w:beforeAutospacing="1" w:after="100" w:afterAutospacing="1"/>
      <w:jc w:val="left"/>
    </w:pPr>
    <w:rPr>
      <w:rFonts w:ascii="宋体" w:hAnsi="宋体"/>
      <w:kern w:val="0"/>
      <w:sz w:val="24"/>
      <w:szCs w:val="22"/>
    </w:rPr>
  </w:style>
  <w:style w:type="table" w:styleId="14">
    <w:name w:val="Table Grid"/>
    <w:basedOn w:val="13"/>
    <w:qFormat/>
    <w:uiPriority w:val="0"/>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locked/>
    <w:uiPriority w:val="0"/>
    <w:rPr>
      <w:b/>
    </w:rPr>
  </w:style>
  <w:style w:type="character" w:styleId="17">
    <w:name w:val="page number"/>
    <w:basedOn w:val="15"/>
    <w:qFormat/>
    <w:uiPriority w:val="99"/>
  </w:style>
  <w:style w:type="character" w:styleId="18">
    <w:name w:val="Hyperlink"/>
    <w:semiHidden/>
    <w:unhideWhenUsed/>
    <w:qFormat/>
    <w:uiPriority w:val="99"/>
    <w:rPr>
      <w:color w:val="0000FF"/>
      <w:u w:val="single"/>
    </w:rPr>
  </w:style>
  <w:style w:type="character" w:customStyle="1" w:styleId="19">
    <w:name w:val="批注框文本 Char"/>
    <w:link w:val="9"/>
    <w:qFormat/>
    <w:locked/>
    <w:uiPriority w:val="0"/>
    <w:rPr>
      <w:rFonts w:ascii="Times New Roman" w:hAnsi="Times New Roman" w:eastAsia="宋体" w:cs="Times New Roman"/>
      <w:sz w:val="18"/>
      <w:szCs w:val="18"/>
    </w:rPr>
  </w:style>
  <w:style w:type="character" w:customStyle="1" w:styleId="20">
    <w:name w:val="正文文本缩进 Char"/>
    <w:link w:val="6"/>
    <w:locked/>
    <w:uiPriority w:val="99"/>
    <w:rPr>
      <w:rFonts w:ascii="仿宋" w:hAnsi="Times New Roman" w:eastAsia="仿宋" w:cs="仿宋"/>
      <w:sz w:val="32"/>
      <w:szCs w:val="32"/>
    </w:rPr>
  </w:style>
  <w:style w:type="character" w:customStyle="1" w:styleId="21">
    <w:name w:val="页脚 Char"/>
    <w:link w:val="10"/>
    <w:qFormat/>
    <w:locked/>
    <w:uiPriority w:val="99"/>
    <w:rPr>
      <w:rFonts w:ascii="Times New Roman" w:hAnsi="Times New Roman" w:eastAsia="宋体" w:cs="Times New Roman"/>
      <w:sz w:val="18"/>
      <w:szCs w:val="18"/>
    </w:rPr>
  </w:style>
  <w:style w:type="character" w:customStyle="1" w:styleId="22">
    <w:name w:val="页眉 Char"/>
    <w:link w:val="11"/>
    <w:qFormat/>
    <w:locked/>
    <w:uiPriority w:val="0"/>
    <w:rPr>
      <w:rFonts w:ascii="Times New Roman" w:hAnsi="Times New Roman" w:eastAsia="宋体" w:cs="Times New Roman"/>
      <w:sz w:val="18"/>
      <w:szCs w:val="18"/>
    </w:rPr>
  </w:style>
  <w:style w:type="paragraph" w:customStyle="1" w:styleId="23">
    <w:name w:val="Char Char1 Char"/>
    <w:basedOn w:val="1"/>
    <w:uiPriority w:val="99"/>
    <w:rPr>
      <w:rFonts w:ascii="Tahoma" w:hAnsi="Tahoma" w:eastAsia="仿宋_GB2312" w:cs="Tahoma"/>
      <w:sz w:val="24"/>
      <w:szCs w:val="24"/>
    </w:rPr>
  </w:style>
  <w:style w:type="character" w:customStyle="1" w:styleId="24">
    <w:name w:val="正文文本 Char"/>
    <w:link w:val="5"/>
    <w:qFormat/>
    <w:uiPriority w:val="1"/>
    <w:rPr>
      <w:rFonts w:ascii="Times New Roman" w:hAnsi="Times New Roman"/>
      <w:kern w:val="2"/>
      <w:sz w:val="21"/>
      <w:szCs w:val="21"/>
    </w:rPr>
  </w:style>
  <w:style w:type="character" w:customStyle="1" w:styleId="25">
    <w:name w:val="ask-title"/>
    <w:basedOn w:val="15"/>
    <w:qFormat/>
    <w:uiPriority w:val="0"/>
  </w:style>
  <w:style w:type="paragraph" w:customStyle="1" w:styleId="26">
    <w:name w:val="p0"/>
    <w:basedOn w:val="1"/>
    <w:qFormat/>
    <w:uiPriority w:val="0"/>
    <w:pPr>
      <w:widowControl/>
      <w:jc w:val="left"/>
    </w:pPr>
    <w:rPr>
      <w:rFonts w:ascii="宋体" w:hAnsi="宋体" w:eastAsia="宋体" w:cs="宋体"/>
      <w:kern w:val="0"/>
      <w:sz w:val="24"/>
      <w:szCs w:val="24"/>
    </w:rPr>
  </w:style>
  <w:style w:type="character" w:customStyle="1" w:styleId="27">
    <w:name w:val="日期 Char"/>
    <w:link w:val="7"/>
    <w:qFormat/>
    <w:uiPriority w:val="0"/>
    <w:rPr>
      <w:rFonts w:ascii="Calibri" w:hAnsi="Calibri" w:eastAsia="宋体" w:cs="Times New Roman"/>
      <w:kern w:val="2"/>
      <w:sz w:val="21"/>
      <w:szCs w:val="22"/>
    </w:rPr>
  </w:style>
  <w:style w:type="paragraph" w:customStyle="1" w:styleId="28">
    <w:name w:val="Char"/>
    <w:basedOn w:val="1"/>
    <w:qFormat/>
    <w:uiPriority w:val="0"/>
    <w:rPr>
      <w:rFonts w:ascii="仿宋_GB2312" w:hAnsi="&lt;p&gt;" w:eastAsia="仿宋_GB2312" w:cs="仿宋_GB2312"/>
      <w:b/>
      <w:bCs/>
      <w:sz w:val="32"/>
      <w:szCs w:val="32"/>
    </w:rPr>
  </w:style>
  <w:style w:type="paragraph" w:styleId="29">
    <w:name w:val="List Paragraph"/>
    <w:basedOn w:val="1"/>
    <w:qFormat/>
    <w:uiPriority w:val="34"/>
    <w:pPr>
      <w:ind w:firstLine="420" w:firstLineChars="200"/>
    </w:pPr>
    <w:rPr>
      <w:rFonts w:ascii="Calibri" w:hAnsi="Calibri" w:eastAsia="宋体" w:cs="Times New Roman"/>
      <w:szCs w:val="22"/>
    </w:rPr>
  </w:style>
  <w:style w:type="paragraph" w:customStyle="1" w:styleId="30">
    <w:name w:val="Char Char Char Char Char Char Char Char Char Char"/>
    <w:basedOn w:val="1"/>
    <w:qFormat/>
    <w:uiPriority w:val="0"/>
    <w:pPr>
      <w:widowControl/>
      <w:spacing w:after="160" w:line="240" w:lineRule="exact"/>
      <w:jc w:val="left"/>
    </w:pPr>
    <w:rPr>
      <w:szCs w:val="20"/>
    </w:rPr>
  </w:style>
  <w:style w:type="paragraph" w:styleId="31">
    <w:name w:val="No Spacing"/>
    <w:qFormat/>
    <w:uiPriority w:val="1"/>
    <w:pPr>
      <w:adjustRightInd w:val="0"/>
      <w:snapToGrid w:val="0"/>
    </w:pPr>
    <w:rPr>
      <w:rFonts w:ascii="Tahoma" w:hAnsi="Tahoma" w:eastAsia="微软雅黑" w:cs="Times New Roman"/>
      <w:sz w:val="22"/>
      <w:szCs w:val="22"/>
      <w:lang w:val="en-US" w:eastAsia="zh-CN" w:bidi="ar-SA"/>
    </w:rPr>
  </w:style>
  <w:style w:type="character" w:customStyle="1" w:styleId="32">
    <w:name w:val="NormalCharacter"/>
    <w:qFormat/>
    <w:uiPriority w:val="0"/>
  </w:style>
  <w:style w:type="character" w:customStyle="1" w:styleId="33">
    <w:name w:val="标题 2 Char"/>
    <w:link w:val="3"/>
    <w:qFormat/>
    <w:uiPriority w:val="9"/>
    <w:rPr>
      <w:rFonts w:ascii="Cambria" w:hAnsi="Cambria" w:eastAsia="黑体"/>
      <w:bCs/>
      <w:kern w:val="2"/>
      <w:sz w:val="32"/>
      <w:szCs w:val="32"/>
    </w:rPr>
  </w:style>
  <w:style w:type="character" w:customStyle="1" w:styleId="34">
    <w:name w:val="正文文本缩进 2 Char"/>
    <w:link w:val="8"/>
    <w:semiHidden/>
    <w:qFormat/>
    <w:uiPriority w:val="99"/>
    <w:rPr>
      <w:rFonts w:ascii="Times New Roman" w:hAnsi="Times New Roman"/>
      <w:kern w:val="2"/>
      <w:sz w:val="21"/>
      <w:szCs w:val="21"/>
    </w:rPr>
  </w:style>
  <w:style w:type="paragraph" w:customStyle="1" w:styleId="35">
    <w:name w:val="文件格式"/>
    <w:basedOn w:val="1"/>
    <w:qFormat/>
    <w:uiPriority w:val="0"/>
    <w:pPr>
      <w:widowControl/>
      <w:spacing w:line="460" w:lineRule="atLeast"/>
      <w:ind w:left="1" w:firstLine="419"/>
      <w:textAlignment w:val="bottom"/>
    </w:pPr>
    <w:rPr>
      <w:rFonts w:ascii="Calibri" w:hAnsi="Calibri"/>
      <w:kern w:val="0"/>
      <w:szCs w:val="32"/>
    </w:rPr>
  </w:style>
  <w:style w:type="character" w:customStyle="1" w:styleId="36">
    <w:name w:val="font11"/>
    <w:qFormat/>
    <w:uiPriority w:val="0"/>
    <w:rPr>
      <w:rFonts w:hint="eastAsia" w:ascii="黑体" w:hAnsi="宋体" w:eastAsia="黑体" w:cs="黑体"/>
      <w:color w:val="000000"/>
      <w:sz w:val="28"/>
      <w:szCs w:val="28"/>
      <w:u w:val="none"/>
    </w:rPr>
  </w:style>
  <w:style w:type="character" w:customStyle="1" w:styleId="37">
    <w:name w:val="标题 1 Char"/>
    <w:link w:val="2"/>
    <w:qFormat/>
    <w:uiPriority w:val="1"/>
    <w:rPr>
      <w:rFonts w:ascii="仿宋" w:hAnsi="仿宋" w:eastAsia="仿宋"/>
      <w:b/>
      <w:bCs/>
      <w:sz w:val="30"/>
      <w:szCs w:val="30"/>
      <w:lang w:eastAsia="en-US"/>
    </w:rPr>
  </w:style>
  <w:style w:type="paragraph" w:customStyle="1" w:styleId="38">
    <w:name w:val="列表段落1"/>
    <w:basedOn w:val="1"/>
    <w:qFormat/>
    <w:uiPriority w:val="99"/>
    <w:pPr>
      <w:ind w:firstLine="420" w:firstLineChars="200"/>
    </w:pPr>
    <w:rPr>
      <w:rFonts w:eastAsia="仿宋_GB2312"/>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MC SYSTEM</Company>
  <Pages>43</Pages>
  <Words>24284</Words>
  <Characters>25499</Characters>
  <Lines>193</Lines>
  <Paragraphs>54</Paragraphs>
  <TotalTime>1</TotalTime>
  <ScaleCrop>false</ScaleCrop>
  <LinksUpToDate>false</LinksUpToDate>
  <CharactersWithSpaces>25566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2018-09-10T06:38:00Z</dcterms:created>
  <dc:creator>Administrator</dc:creator>
  <cp:lastModifiedBy>Administrator</cp:lastModifiedBy>
  <cp:lastPrinted>2023-01-29T03:44:00Z</cp:lastPrinted>
  <dcterms:modified xsi:type="dcterms:W3CDTF">2023-07-27T10:10:43Z</dcterms:modified>
  <cp:revision>383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12D5511427334BB9A18C4EFD389AFFF1_13</vt:lpwstr>
  </property>
</Properties>
</file>