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ascii="仿宋_GB2312" w:eastAsia="仿宋_GB2312"/>
          <w:sz w:val="32"/>
          <w:szCs w:val="32"/>
        </w:rPr>
      </w:pPr>
      <w:r>
        <w:rPr>
          <w:rFonts w:hint="eastAsia" w:ascii="仿宋_GB2312" w:eastAsia="仿宋_GB2312" w:cs="仿宋_GB2312"/>
          <w:sz w:val="32"/>
          <w:szCs w:val="32"/>
        </w:rPr>
        <w:t>历下政办发〔</w:t>
      </w:r>
      <w:r>
        <w:rPr>
          <w:rFonts w:ascii="仿宋_GB2312" w:eastAsia="仿宋_GB2312" w:cs="仿宋_GB2312"/>
          <w:sz w:val="32"/>
          <w:szCs w:val="32"/>
        </w:rPr>
        <w:t>20</w:t>
      </w:r>
      <w:r>
        <w:rPr>
          <w:rFonts w:hint="eastAsia" w:ascii="仿宋_GB2312" w:eastAsia="仿宋_GB2312" w:cs="仿宋_GB2312"/>
          <w:sz w:val="32"/>
          <w:szCs w:val="32"/>
        </w:rPr>
        <w:t>23〕3号</w:t>
      </w:r>
    </w:p>
    <w:p>
      <w:pPr>
        <w:tabs>
          <w:tab w:val="left" w:pos="4376"/>
        </w:tabs>
        <w:spacing w:line="560" w:lineRule="exact"/>
        <w:rPr>
          <w:rFonts w:ascii="仿宋_GB2312" w:eastAsia="仿宋_GB2312"/>
        </w:rPr>
      </w:pPr>
      <w:r>
        <w:rPr>
          <w:rFonts w:ascii="仿宋_GB2312" w:eastAsia="仿宋_GB2312"/>
        </w:rPr>
        <w:tab/>
      </w:r>
    </w:p>
    <w:p>
      <w:pPr>
        <w:spacing w:line="560" w:lineRule="exact"/>
        <w:jc w:val="center"/>
        <w:rPr>
          <w:rFonts w:ascii="方正小标宋简体" w:hAnsi="宋体" w:eastAsia="方正小标宋简体" w:cs="宋体"/>
          <w:sz w:val="44"/>
          <w:szCs w:val="44"/>
        </w:rPr>
      </w:pPr>
      <w:bookmarkStart w:id="0" w:name="_GoBack"/>
      <w:r>
        <w:rPr>
          <w:rFonts w:hint="eastAsia" w:ascii="方正小标宋简体" w:hAnsi="宋体" w:eastAsia="方正小标宋简体" w:cs="宋体"/>
          <w:sz w:val="44"/>
          <w:szCs w:val="44"/>
        </w:rPr>
        <w:t>济南市历下区人民政府办公室</w:t>
      </w:r>
    </w:p>
    <w:p>
      <w:pPr>
        <w:spacing w:line="560" w:lineRule="exact"/>
        <w:jc w:val="center"/>
        <w:rPr>
          <w:rFonts w:ascii="方正小标宋简体" w:hAnsi="宋体" w:eastAsia="方正小标宋简体" w:cs="宋体"/>
          <w:sz w:val="44"/>
          <w:szCs w:val="44"/>
        </w:rPr>
      </w:pPr>
      <w:r>
        <w:rPr>
          <w:rFonts w:hint="eastAsia" w:ascii="方正小标宋简体" w:hAnsi="方正小标宋简体" w:eastAsia="方正小标宋简体" w:cs="方正小标宋简体"/>
          <w:color w:val="000000"/>
          <w:kern w:val="0"/>
          <w:sz w:val="44"/>
          <w:szCs w:val="44"/>
        </w:rPr>
        <w:t>关于公布济南市历下区行政许可事项清单(2023年版)的通知</w:t>
      </w:r>
      <w:bookmarkEnd w:id="0"/>
    </w:p>
    <w:p>
      <w:pPr>
        <w:spacing w:line="560" w:lineRule="exact"/>
        <w:ind w:firstLine="560" w:firstLineChars="200"/>
        <w:rPr>
          <w:rFonts w:ascii="仿宋_GB2312" w:eastAsia="仿宋_GB2312"/>
          <w:sz w:val="28"/>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各街道办事处，区政府各部门（单位）：</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深入贯彻党中央、国务院决策部署，持续落实省委、省政府和市委、市政府关于全面实行行政许可事项清单管理的工作要求，按照《山东省人民政府办公厅关于公布〈山东省行政许可事项清单(2023年版)〉的通知》(鲁政办发〔2023〕4号)和《济南市人民政府厅关于公布济南市行政许可事项清单(2023年版)的通知》(济政办发〔2023〕7号)有关精神，依据《济南市历下区人民政府关于全面实行行政许可事项清单管理的通知》(历下政发〔2022〕5号)，经全省统一政策口径集中审核规范后，修订形成《济南市历下区行政许可事项清单(2023年版)》，经区政府同意，现予公布。</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街道办事处、区政府各部门(单位)要认真落实《济南市历下区行政许可事项清单(2023年版)》，及时调整完善本部门(单位)行政许可事项清单、实施规范和办事指南，严格依照清单实施行政许可，不断强化实施情况动态评估和全程监督，扎实有效做好全面实行行政许可事项清单管理工作。</w:t>
      </w:r>
    </w:p>
    <w:p>
      <w:pPr>
        <w:spacing w:line="560" w:lineRule="exact"/>
        <w:ind w:firstLine="668" w:firstLineChars="200"/>
        <w:rPr>
          <w:rFonts w:ascii="仿宋_GB2312" w:hAnsi="仿宋_GB2312" w:eastAsia="仿宋_GB2312" w:cs="仿宋_GB2312"/>
          <w:spacing w:val="7"/>
          <w:sz w:val="32"/>
          <w:szCs w:val="32"/>
        </w:rPr>
      </w:pPr>
    </w:p>
    <w:p>
      <w:pPr>
        <w:spacing w:line="560" w:lineRule="exact"/>
        <w:ind w:firstLine="668" w:firstLineChars="200"/>
        <w:rPr>
          <w:rFonts w:ascii="仿宋_GB2312" w:eastAsia="仿宋_GB2312"/>
          <w:sz w:val="32"/>
        </w:rPr>
      </w:pP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13"/>
          <w:sz w:val="32"/>
          <w:szCs w:val="32"/>
        </w:rPr>
        <w:t>济南市</w:t>
      </w:r>
      <w:r>
        <w:rPr>
          <w:rFonts w:hint="eastAsia" w:ascii="仿宋_GB2312" w:hAnsi="仿宋_GB2312" w:eastAsia="仿宋_GB2312" w:cs="仿宋_GB2312"/>
          <w:spacing w:val="7"/>
          <w:sz w:val="32"/>
          <w:szCs w:val="32"/>
        </w:rPr>
        <w:t>历下区行政许可事项清单(2023年版</w:t>
      </w:r>
      <w:r>
        <w:rPr>
          <w:rFonts w:hint="eastAsia" w:ascii="仿宋_GB2312" w:hAnsi="仿宋_GB2312" w:eastAsia="仿宋_GB2312" w:cs="仿宋_GB2312"/>
          <w:spacing w:val="6"/>
          <w:sz w:val="32"/>
          <w:szCs w:val="32"/>
        </w:rPr>
        <w:t>)</w:t>
      </w:r>
    </w:p>
    <w:p>
      <w:pPr>
        <w:overflowPunct w:val="0"/>
        <w:autoSpaceDE w:val="0"/>
        <w:autoSpaceDN w:val="0"/>
        <w:spacing w:line="560" w:lineRule="exact"/>
        <w:ind w:firstLine="640" w:firstLineChars="200"/>
        <w:textAlignment w:val="center"/>
        <w:rPr>
          <w:rFonts w:ascii="仿宋_GB2312" w:eastAsia="仿宋_GB2312"/>
          <w:kern w:val="0"/>
          <w:sz w:val="32"/>
        </w:rPr>
      </w:pPr>
    </w:p>
    <w:p>
      <w:pPr>
        <w:overflowPunct w:val="0"/>
        <w:autoSpaceDE w:val="0"/>
        <w:autoSpaceDN w:val="0"/>
        <w:spacing w:line="560" w:lineRule="exact"/>
        <w:ind w:firstLine="640" w:firstLineChars="200"/>
        <w:textAlignment w:val="center"/>
        <w:rPr>
          <w:rFonts w:ascii="仿宋_GB2312" w:eastAsia="仿宋_GB2312"/>
          <w:kern w:val="0"/>
          <w:sz w:val="32"/>
        </w:rPr>
      </w:pPr>
    </w:p>
    <w:p>
      <w:pPr>
        <w:overflowPunct w:val="0"/>
        <w:autoSpaceDE w:val="0"/>
        <w:autoSpaceDN w:val="0"/>
        <w:spacing w:line="560" w:lineRule="exact"/>
        <w:ind w:firstLine="640" w:firstLineChars="200"/>
        <w:textAlignment w:val="center"/>
        <w:rPr>
          <w:rFonts w:ascii="仿宋_GB2312" w:eastAsia="仿宋_GB2312"/>
          <w:kern w:val="0"/>
          <w:sz w:val="32"/>
        </w:rPr>
      </w:pPr>
      <w:r>
        <w:rPr>
          <w:rFonts w:hint="eastAsia" w:ascii="仿宋_GB2312" w:eastAsia="仿宋_GB2312"/>
          <w:kern w:val="0"/>
          <w:sz w:val="32"/>
        </w:rPr>
        <w:t>　　　　　　　　    　济南市历下区人民政府办公室</w:t>
      </w:r>
    </w:p>
    <w:p>
      <w:pPr>
        <w:spacing w:line="560" w:lineRule="exact"/>
        <w:ind w:firstLine="640" w:firstLineChars="200"/>
        <w:rPr>
          <w:rFonts w:ascii="仿宋_GB2312" w:hAnsi="仿宋" w:eastAsia="仿宋_GB2312"/>
          <w:sz w:val="32"/>
        </w:rPr>
      </w:pPr>
      <w:r>
        <w:rPr>
          <w:rFonts w:hint="eastAsia" w:ascii="仿宋_GB2312" w:eastAsia="仿宋_GB2312"/>
          <w:kern w:val="0"/>
          <w:sz w:val="32"/>
        </w:rPr>
        <w:t xml:space="preserve">                    　     </w:t>
      </w:r>
      <w:r>
        <w:rPr>
          <w:rFonts w:hint="eastAsia" w:ascii="仿宋_GB2312" w:eastAsia="仿宋_GB2312"/>
          <w:sz w:val="32"/>
        </w:rPr>
        <w:t>2023年5月31日</w:t>
      </w:r>
    </w:p>
    <w:p>
      <w:pPr>
        <w:spacing w:line="560" w:lineRule="exact"/>
        <w:ind w:firstLine="640" w:firstLineChars="200"/>
        <w:rPr>
          <w:rFonts w:hint="eastAsia" w:ascii="方正小标宋简体" w:eastAsia="方正小标宋简体"/>
          <w:sz w:val="44"/>
          <w:szCs w:val="44"/>
        </w:rPr>
      </w:pPr>
      <w:r>
        <w:rPr>
          <w:rFonts w:hint="eastAsia" w:ascii="仿宋_GB2312" w:eastAsia="仿宋_GB2312"/>
          <w:sz w:val="32"/>
          <w:szCs w:val="32"/>
        </w:rPr>
        <w:t>（此件公开发布）</w:t>
      </w: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hint="eastAsia" w:ascii="方正小标宋简体" w:eastAsia="方正小标宋简体"/>
          <w:sz w:val="44"/>
          <w:szCs w:val="44"/>
        </w:rPr>
      </w:pPr>
    </w:p>
    <w:p>
      <w:pPr>
        <w:spacing w:line="560" w:lineRule="exact"/>
        <w:ind w:firstLine="880" w:firstLineChars="200"/>
        <w:rPr>
          <w:rFonts w:ascii="方正小标宋简体" w:eastAsia="方正小标宋简体"/>
          <w:sz w:val="44"/>
          <w:szCs w:val="44"/>
        </w:rPr>
        <w:sectPr>
          <w:footerReference r:id="rId3" w:type="default"/>
          <w:footerReference r:id="rId4" w:type="even"/>
          <w:pgSz w:w="11906" w:h="16838"/>
          <w:pgMar w:top="2098" w:right="1588" w:bottom="2098" w:left="1588" w:header="851" w:footer="1644" w:gutter="0"/>
          <w:pgNumType w:fmt="numberInDash" w:start="1"/>
          <w:cols w:space="425" w:num="1"/>
          <w:docGrid w:type="lines" w:linePitch="312" w:charSpace="0"/>
        </w:sectPr>
      </w:pPr>
    </w:p>
    <w:p>
      <w:pPr>
        <w:tabs>
          <w:tab w:val="left" w:pos="7920"/>
          <w:tab w:val="left" w:pos="8460"/>
        </w:tabs>
        <w:snapToGrid w:val="0"/>
        <w:spacing w:line="560" w:lineRule="exact"/>
        <w:rPr>
          <w:rFonts w:ascii="黑体" w:hAnsi="黑体" w:eastAsia="黑体" w:cs="仿宋_GB2312"/>
          <w:sz w:val="32"/>
          <w:szCs w:val="32"/>
        </w:rPr>
      </w:pPr>
      <w:r>
        <w:rPr>
          <w:rFonts w:hint="eastAsia" w:ascii="黑体" w:hAnsi="黑体" w:eastAsia="黑体" w:cs="仿宋_GB2312"/>
          <w:sz w:val="32"/>
          <w:szCs w:val="32"/>
        </w:rPr>
        <w:t>附件</w:t>
      </w:r>
    </w:p>
    <w:p>
      <w:pPr>
        <w:tabs>
          <w:tab w:val="left" w:pos="7920"/>
          <w:tab w:val="left" w:pos="8460"/>
        </w:tabs>
        <w:snapToGrid w:val="0"/>
        <w:spacing w:after="312" w:afterLines="100" w:line="560" w:lineRule="exact"/>
        <w:jc w:val="center"/>
        <w:rPr>
          <w:rFonts w:ascii="方正小标宋简体" w:eastAsia="方正小标宋简体" w:cs="仿宋_GB2312"/>
          <w:sz w:val="44"/>
          <w:szCs w:val="44"/>
        </w:rPr>
      </w:pPr>
      <w:r>
        <w:rPr>
          <w:rFonts w:hint="eastAsia" w:ascii="方正小标宋简体" w:eastAsia="方正小标宋简体" w:cs="仿宋_GB2312"/>
          <w:sz w:val="44"/>
          <w:szCs w:val="44"/>
        </w:rPr>
        <w:t>济南市历下区行政许可事项清单（2023年版）</w:t>
      </w:r>
    </w:p>
    <w:tbl>
      <w:tblPr>
        <w:tblStyle w:val="13"/>
        <w:tblW w:w="5585" w:type="pct"/>
        <w:jc w:val="center"/>
        <w:tblLayout w:type="autofit"/>
        <w:tblCellMar>
          <w:top w:w="0" w:type="dxa"/>
          <w:left w:w="108" w:type="dxa"/>
          <w:bottom w:w="0" w:type="dxa"/>
          <w:right w:w="108" w:type="dxa"/>
        </w:tblCellMar>
      </w:tblPr>
      <w:tblGrid>
        <w:gridCol w:w="761"/>
        <w:gridCol w:w="1942"/>
        <w:gridCol w:w="2513"/>
        <w:gridCol w:w="2625"/>
        <w:gridCol w:w="6521"/>
      </w:tblGrid>
      <w:tr>
        <w:tblPrEx>
          <w:tblCellMar>
            <w:top w:w="0" w:type="dxa"/>
            <w:left w:w="108" w:type="dxa"/>
            <w:bottom w:w="0" w:type="dxa"/>
            <w:right w:w="108" w:type="dxa"/>
          </w:tblCellMar>
        </w:tblPrEx>
        <w:trPr>
          <w:wBefore w:w="0" w:type="dxa"/>
          <w:wAfter w:w="0" w:type="dxa"/>
          <w:trHeight w:val="270" w:hRule="atLeast"/>
          <w:tblHeader/>
          <w:jc w:val="center"/>
        </w:trPr>
        <w:tc>
          <w:tcPr>
            <w:tcW w:w="265"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676"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区级主管部门</w:t>
            </w:r>
          </w:p>
        </w:tc>
        <w:tc>
          <w:tcPr>
            <w:tcW w:w="875"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事项名称</w:t>
            </w:r>
          </w:p>
        </w:tc>
        <w:tc>
          <w:tcPr>
            <w:tcW w:w="914"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实施机关</w:t>
            </w:r>
          </w:p>
        </w:tc>
        <w:tc>
          <w:tcPr>
            <w:tcW w:w="2270"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设定和实施依据</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固定资产投资项目核准（含国发〔2016〕72号文件规定的外商投资项目）</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w:t>
            </w:r>
          </w:p>
        </w:tc>
        <w:tc>
          <w:tcPr>
            <w:tcW w:w="2270" w:type="pct"/>
            <w:tcBorders>
              <w:top w:val="nil"/>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《企业投资项目核准和备案管理条例》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《国务院关于发布政府核准的投资项目目录（2016年本）的通知》（国发〔2016〕72号）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《山东省人民政府关于发布政府核准的投资项目目录（山东省2017年本）的通知》（鲁政发〔2017〕31号）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固定资产投资项目节能审查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《中华人民共和国节约能源法》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《固定资产投资项目节能审查办法》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98"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在电力设施周围或者电力设施保护区内进行可能危及电力设施安全作业审批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《中华人民共和国电力法》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《电力设施保护条例》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新建不能满足管道保护要求的石油天然气管道防护方案审批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《中华人民共和国石油天然气管道保护法》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可能影响石油天然气管道保护的施工作业审批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《中华人民共和国石油天然气管道保护法》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29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中等及以下学校和其他教育机构设置审批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《中华人民共和国教育法》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《国务院关于当前发展学前教育的若干意见》（国发〔2010〕41号）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《国务院办公厅关于规范校外培训机构发展的意见》（国办发〔2018〕80号）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从事文艺、体育等专业训练的社会组织自行实施义务教育审批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《中华人民共和国义务教育法》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校车使用许可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区政府（由区教育和体育局会同市公安局交通警察支队历下区大队承办）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《校车安全管理条例》</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区教育和体育局（受市教育局委托实施）；区教育和体育局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《中华人民共和国教师法》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《教师资格条例》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适龄儿童、少年因身体状况需要延缓入学或者休学审批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《中华人民共和国义务教育法》</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民用枪支及枪支主要零部件、弹药配置许可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《中华人民共和国枪支管理法》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举行集会游行示威许可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《中华人民共和国集会游行示威法》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《中华人民共和国集会游行示威法实施条例》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《山东省实施〈中华人民共和国集会游行示威法〉办法》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大型群众性活动安全许可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《大型群众性活动安全管理条例》</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旅馆业特种行业许可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《旅馆业治安管理办法》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举办焰火晚会及其他大型焰火燃放活动许可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《公安部办公厅关于贯彻执行〈大型焰火燃放作业人员资格条件及管理〉和〈大型焰火燃放作业单位资质条件及管理〉有关事项的通知》（公治〔2010〕592号）</w:t>
            </w:r>
          </w:p>
        </w:tc>
      </w:tr>
      <w:tr>
        <w:tblPrEx>
          <w:tblCellMar>
            <w:top w:w="0" w:type="dxa"/>
            <w:left w:w="108" w:type="dxa"/>
            <w:bottom w:w="0" w:type="dxa"/>
            <w:right w:w="108" w:type="dxa"/>
          </w:tblCellMar>
        </w:tblPrEx>
        <w:trPr>
          <w:wBefore w:w="0" w:type="dxa"/>
          <w:wAfter w:w="0" w:type="dxa"/>
          <w:trHeight w:val="876"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676"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烟花爆竹道路运输许可</w:t>
            </w:r>
          </w:p>
        </w:tc>
        <w:tc>
          <w:tcPr>
            <w:tcW w:w="914"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auto" w:sz="4" w:space="0"/>
              <w:right w:val="single" w:color="000000"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《关于优化烟花爆竹道路运输许可审批进一步深化烟花爆竹“放管服”改革工作的通知》（公治安明发〔2019〕218号）</w:t>
            </w:r>
          </w:p>
        </w:tc>
      </w:tr>
      <w:tr>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民用爆炸物品购买许可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《民用爆炸物品安全管理条例》</w:t>
            </w:r>
          </w:p>
        </w:tc>
      </w:tr>
      <w:tr>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民用爆炸物品运输许可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《民用爆炸物品安全管理条例》</w:t>
            </w:r>
          </w:p>
        </w:tc>
      </w:tr>
      <w:tr>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剧毒化学品购买许可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676" w:type="pct"/>
            <w:tcBorders>
              <w:top w:val="nil"/>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剧毒化学品道路运输通行许可</w:t>
            </w:r>
          </w:p>
        </w:tc>
        <w:tc>
          <w:tcPr>
            <w:tcW w:w="914" w:type="pct"/>
            <w:tcBorders>
              <w:top w:val="nil"/>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《剧毒化学品购买和公路运输许可证件管理办法》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放射性物品道路运输许可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《中华人民共和国核安全法》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《放射性物品运输安全管理条例》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运输危险化学品的车辆进入危险化学品运输车辆限制通行区域审批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易制毒化学品购买许可（除第一类中的药品类易制毒化学品外）</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易制毒化学品运输许可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《易制毒化学品管理条例》</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机动车临时通行牌证核发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机动车检验合格标志核发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机动车驾驶证核发、审验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333333" w:sz="6" w:space="0"/>
              <w:left w:val="single" w:color="333333" w:sz="6" w:space="0"/>
              <w:bottom w:val="single" w:color="333333" w:sz="6" w:space="0"/>
              <w:right w:val="single" w:color="333333"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《机动车驾驶证申领和使用规定》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校车驾驶资格许可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《机动车驾驶证申领和使用规定》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非机动车登记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《山东省电动自行车管理办法》（省政府令第348号）</w:t>
            </w:r>
          </w:p>
        </w:tc>
      </w:tr>
      <w:tr>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涉路施工交通安全审查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《中华人民共和国公路法》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《城市道路管理条例》</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户口迁移审批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《中华人民共和国户口登记条例》</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犬类准养证核发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《中华人民共和国传染病防治法实施办法》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《山东省动物防疫条例》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《济南市文明养犬管理条例》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普通护照签发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市公安局历下区分局（受理国家移民管理局事权事项）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《中华人民共和国护照法》</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边境管理区通行证核发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内地居民前往港澳通行证、往来港澳通行证及签注签发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《中国公民因私事往来香港地区或者澳门地区的暂行管理办法》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港澳居民来往内地通行证签发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《中国公民因私事往来香港地区或者澳门地区的暂行管理办法》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大陆居民往来台湾通行证及签注签发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《中国公民往来台湾地区管理办法》</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台湾居民来往大陆通行证签发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《中国公民往来台湾地区管理办法》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临时占用道路从事大型活动的许可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《山东省实施〈中华人民共和国道路交通安全法〉办法》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《济南市道路交通安全条例》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在限制、禁止的区域或者路段通行、停靠机动车的许可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《山东省实施〈中华人民共和国道路交通安全法〉办法》</w:t>
            </w:r>
          </w:p>
        </w:tc>
      </w:tr>
      <w:tr>
        <w:trPr>
          <w:wBefore w:w="0" w:type="dxa"/>
          <w:wAfter w:w="0" w:type="dxa"/>
          <w:trHeight w:val="20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社会团体成立、变更、注销登记及修改章程核准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《社会团体登记管理条例》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0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民办非企业单位成立、变更、注销登记及修改章程核准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委托实施部分市行政审批服务局事权事项）（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《民办非企业单位登记管理暂行条例》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宗教活动场所法人成立、变更、注销登记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区行政审批服务局（由区委统战部〔区民族宗教事务局〕实施前置审查）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慈善组织公开募捐资格审批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《中华人民共和国慈善法》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殡葬设施建设审批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《殡葬管理条例》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《国务院关于深化“证照分离”改革进一步激发市场主体发展活力的通知》（国发〔2021〕7号）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地名命名、更名审批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县级有关部门</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《地名管理条例》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区财政局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中介机构从事代理记账业务审批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《中华人民共和国会计法》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《代理记账管理办法》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职业培训学校筹设审批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职业培训学校办学许可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人力资源服务许可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《中华人民共和国就业促进法》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《人力资源市场暂行条例》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《山东省人力资源市场条例》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劳务派遣经营许可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《中华人民共和国劳动合同法》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《劳务派遣行政许可实施办法》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《山东省人力资源市场条例》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企业实行不定时工作制和综合计算工时工作制审批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《中华人民共和国劳动法》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《关于企业实行不定时工作制和综合计算工时工作制的审批办法》（劳部发〔1994〕503号）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8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开采矿产资源审批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《中华人民共和国矿产资源法》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《中华人民共和国矿产资源法实施细则》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《矿产资源开采登记管理办法》</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676"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建设项目用地预审与选址意见书核发</w:t>
            </w:r>
          </w:p>
        </w:tc>
        <w:tc>
          <w:tcPr>
            <w:tcW w:w="914"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《中华人民共和国城乡规划法》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《建设项目用地预审管理办法》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4" w:space="0"/>
              <w:left w:val="single" w:color="auto" w:sz="4"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w:t>
            </w:r>
          </w:p>
        </w:tc>
        <w:tc>
          <w:tcPr>
            <w:tcW w:w="676" w:type="pct"/>
            <w:tcBorders>
              <w:top w:val="single" w:color="auto" w:sz="4"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4"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国有建设用地使用权出让后土地使用权分割转让批准</w:t>
            </w:r>
          </w:p>
        </w:tc>
        <w:tc>
          <w:tcPr>
            <w:tcW w:w="914" w:type="pct"/>
            <w:tcBorders>
              <w:top w:val="single" w:color="auto" w:sz="4"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4" w:space="0"/>
              <w:left w:val="single" w:color="auto" w:sz="6" w:space="0"/>
              <w:bottom w:val="single" w:color="auto" w:sz="4" w:space="0"/>
              <w:right w:val="single" w:color="auto" w:sz="4"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《中华人民共和国城镇国有土地使用权出让和转让暂行条例》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w:t>
            </w:r>
          </w:p>
        </w:tc>
        <w:tc>
          <w:tcPr>
            <w:tcW w:w="676" w:type="pct"/>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乡（镇）村企业使用集体建设用地审批</w:t>
            </w:r>
          </w:p>
        </w:tc>
        <w:tc>
          <w:tcPr>
            <w:tcW w:w="914"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区政府（受市政府委托承办，由区自然资源局承办）</w:t>
            </w:r>
          </w:p>
        </w:tc>
        <w:tc>
          <w:tcPr>
            <w:tcW w:w="2270"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乡（镇）村公共设施、公益事业使用集体建设用地审批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区政府（受市政府委托承办，由区自然资源局承办）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临时用地审批</w:t>
            </w:r>
          </w:p>
        </w:tc>
        <w:tc>
          <w:tcPr>
            <w:tcW w:w="914"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开发未确定使用权的国有荒山、荒地、荒滩从事生产审查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《中华人民共和国土地管理法实施条例》</w:t>
            </w:r>
          </w:p>
        </w:tc>
      </w:tr>
      <w:tr>
        <w:tblPrEx>
          <w:tblCellMar>
            <w:top w:w="0" w:type="dxa"/>
            <w:left w:w="108" w:type="dxa"/>
            <w:bottom w:w="0" w:type="dxa"/>
            <w:right w:w="108" w:type="dxa"/>
          </w:tblCellMar>
        </w:tblPrEx>
        <w:trPr>
          <w:wBefore w:w="0" w:type="dxa"/>
          <w:wAfter w:w="0" w:type="dxa"/>
          <w:trHeight w:val="229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一般建设项目环境影响评价审批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《中华人民共和国环境影响评价法》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《中华人民共和国大气污染防治法》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《中华人民共和国土壤污染防治法》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《中华人民共和国噪声污染防治法》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《建设项目环境保护管理条例》</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核与辐射类建设项目环境影响评价审批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《中华人民共和国环境影响评价法》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《中华人民共和国放射性污染防治法》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《中华人民共和国核安全法》</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江河、湖泊新建、改建或者扩大排污口审批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《中央编办关于生态环境部流域生态环境监管机构设置有关事项的通知》（中央编办发〔2019〕26号）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危险废物经营许可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《危险废物经营许可证管理办法》</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放射性核素排放许可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《中华人民共和国放射性污染防治法》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建筑工程施工许可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《中华人民共和国建筑法》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《建筑工程施工许可管理办法》</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《城镇燃气管理条例》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燃气经营者改动市政燃气设施审批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《城镇燃气管理条例》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《国务院关于第六批取消和调整行政审批项目的决定》（国发〔2012〕52号）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历史文化街区、名镇、名村核心保护范围内拆除历史建筑以外的建筑物、构筑物或者其他设施审批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区住房和城市建设局会同区文化和旅游局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《历史文化名城名镇名村保护条例》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《济南市历史文化名城保护条例》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历史建筑外部修缮装饰、添加设施以及改变历史建筑的结构或者使用性质审批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区住房和城市建设局会同区文化和旅游局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《历史文化名城名镇名村保护条例》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《济南市历史文化名城保护条例》</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《建设工程消防设计审查验收管理暂行规定》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建设工程消防验收</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《建设工程消防设计审查验收管理暂行规定》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在村庄、集镇规划区内公共场所修建临时建筑等设施审批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乡级政府</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《村庄和集镇规划建设管理条例》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建筑起重机械使用登记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《建设工程安全生产管理条例》</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供热经营许可证核发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《山东省供热经营许可管理办法》（鲁建燃热字〔2016〕14号）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供热企业停业许可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《山东省城市建设管理条例》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关闭、闲置、拆除城市环境卫生设施许可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区行政审批服务局会同市生态环境局历下分局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拆除环境卫生设施许可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《城市市容和环境卫生管理条例》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临时性建筑物搭建、堆放物料、占道施工审批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《城市市容和环境卫生管理条例》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城镇污水排入排水管网许可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《城镇排水与污水处理条例》</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水利基建项目初步设计文件审批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河道管理范围内特定活动审批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 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河道采砂许可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647"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生产建设项目水土保持方案审批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《中华人民共和国水土保持法》</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农村集体经济组织修建水库审批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城市建设填堵水域、废除围堤审批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《中华人民共和国防洪法》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909"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占用农业灌溉水源、灌排工程设施审批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坝顶兼做公路审批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《水库大坝安全管理条例》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《山东省人民政府关于取消和下放行政审批事项的决定》（省政府令第264号）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835"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利用堤顶、戗台兼做公路审批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《山东省黄河河道管理条例》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蓄滞洪区避洪设施建设审批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96"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大坝管理和保护范围内修建码头、渔塘许可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《水库大坝安全管理条例》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p>
        </w:tc>
      </w:tr>
      <w:tr>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洪水影响评价类审批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《中华人民共和国防洪法》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《中华人民共和国水文条例》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《山东省黄河河道管理条例》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农药经营许可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《农药管理条例》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食用菌菌种生产经营许可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区行政审批服务局（受理省农业农村厅事权事项）；区行政审批服务局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《食用菌菌种管理办法》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使用低于国家或地方规定的种用标准的农作物种子审批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蚕种生产经营许可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《中华人民共和国畜牧法》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《蚕种管理办法》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农业植物检疫证书核发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wBefore w:w="0" w:type="dxa"/>
          <w:wAfter w:w="0" w:type="dxa"/>
          <w:trHeight w:val="64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农业植物产地检疫合格证签发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农业野生植物采集、出售、收购、野外考察审批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区行政审批服务局（受理省农业农村厅〔采集国家二级保护野生植物〕事权事项）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《中华人民共和国野生植物保护条例》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拖拉机和联合收割机驾驶证核发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《农业机械安全监督管理条例》</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拖拉机和联合收割机登记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《农业机械安全监督管理条例》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工商企业等社会资本通过流转取得土地经营权审批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《中华人民共和国农村土地承包法》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《农村土地经营权流转管理办法》</w:t>
            </w:r>
          </w:p>
        </w:tc>
      </w:tr>
      <w:tr>
        <w:trPr>
          <w:wBefore w:w="0" w:type="dxa"/>
          <w:wAfter w:w="0" w:type="dxa"/>
          <w:trHeight w:val="322"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w:t>
            </w:r>
          </w:p>
        </w:tc>
        <w:tc>
          <w:tcPr>
            <w:tcW w:w="676"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农村村民宅基地审批</w:t>
            </w:r>
          </w:p>
        </w:tc>
        <w:tc>
          <w:tcPr>
            <w:tcW w:w="914"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街道办事处</w:t>
            </w:r>
          </w:p>
        </w:tc>
        <w:tc>
          <w:tcPr>
            <w:tcW w:w="2270"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104</w:t>
            </w:r>
          </w:p>
        </w:tc>
        <w:tc>
          <w:tcPr>
            <w:tcW w:w="676" w:type="pct"/>
            <w:tcBorders>
              <w:top w:val="nil"/>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水产苗种生产经营审批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《中华人民共和国渔业法》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《水产苗种管理办法》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水域滩涂养殖证核发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《中华人民共和国渔业法》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猎捕省重点保护水生野生动物审批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出售、购买、利用省重点保护水生野生动物及其制品审批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22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人工繁育省重点保护水生野生动物审批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外国人在我省对省重点保护水生野生动物进行野外考察或者在野外拍摄电影、录像等活动审批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农作物种子生产经营许可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《农作物种子生产经营许可管理办法》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动物及动物产品检疫合格证核发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《动物检疫管理办法》</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兽药经营许可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《兽药管理条例》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种畜禽生产经营许可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区行政审批服务局（受委托实施部分市行政审批服务局事权事项）；区行政审批服务局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《中华人民共和国畜牧法》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《养蜂管理办法（试行）》（农业部公告第1692号）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动物防疫条件合格证核发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《动物防疫条件审查办法》</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向无规定动物疫病区输入易感动物、动物产品的检疫审批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《动物检疫管理办法》</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动物诊疗许可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《动物诊疗机构管理办法》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生鲜乳收购站许可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《乳品质量安全监督管理条例》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生鲜乳准运证明核发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《乳品质量安全监督管理条例》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林草种子生产经营许可证核发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《山东省种子条例》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林草植物检疫证书核发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建设项目使用林地及在森林和野生动物类型国家级自然保护区建设审批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《中华人民共和国森林法实施条例》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《森林和野生动物类型自然保护区管理办法》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建设项目使用草原审批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《中华人民共和国草原法》</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林木采伐许可证核发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猎捕陆生野生动物审批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《中华人民共和国野生动物保护法》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《中华人民共和国陆生野生动物保护实施条例》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森林草原防火期内在森林草原防火区野外用火审批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《山东省实施〈森林防火条例〉办法》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森林草原防火期内在森林草原防火区爆破、勘察和施工等活动审批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进入森林高火险区、草原防火管制区审批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工商企业等社会资本通过流转取得林地经营权审批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《中华人民共和国农村土地承包法》</w:t>
            </w:r>
          </w:p>
        </w:tc>
      </w:tr>
      <w:tr>
        <w:tblPrEx>
          <w:tblCellMar>
            <w:top w:w="0" w:type="dxa"/>
            <w:left w:w="108" w:type="dxa"/>
            <w:bottom w:w="0" w:type="dxa"/>
            <w:right w:w="108" w:type="dxa"/>
          </w:tblCellMar>
        </w:tblPrEx>
        <w:trPr>
          <w:wBefore w:w="0" w:type="dxa"/>
          <w:wAfter w:w="0" w:type="dxa"/>
          <w:trHeight w:val="1684"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人工繁育省重点保护陆生野生动物许可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tc>
      </w:tr>
      <w:tr>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出售、购买、利用省重点保护陆生野生动物及其制品审批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外国人对省重点保护陆生野生动物进行野外考察或者在野外拍摄电影、录像审批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改变绿化规划、绿化用地的使用性质审批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工程建设涉及城市绿地、树木审批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《城市绿化条例》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区商务局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对外劳务合作经营资格核准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《中华人民共和国对外贸易法》</w:t>
            </w:r>
          </w:p>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《对外劳务合作管理条例》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文艺表演团体设立审批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《营业性演出管理条例实施细则》</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娱乐场所经营活动审批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《娱乐场所管理条例》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互联网上网服务营业场所筹建审批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互联网上网服务经营活动审批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建设工程文物保护许可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区政府（由区行政审批服务局承办，征得上一级文化和旅游部门同意）；区行政审批服务局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《山东省文物保护条例》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文物保护单位原址保护措施审批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核定为文物保护单位的属于国家所有的纪念建筑物或者古建筑改变用途审批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区政府（由区文化和旅游局承办，征得上一级文化和旅游部门同意）</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tc>
      </w:tr>
      <w:tr>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不可移动文物修缮审批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非国有文物收藏单位和其他单位借用国有馆藏文物审批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博物馆处理不够入藏标准、无保存价值的文物或标本审批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对尚未被认定为文物的监管物品审核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《山东省文物保护条例》</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广播电视专用频段频率使用许可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广播电台、电视台设立、终止审批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广播电台、电视台变更台名、台标、节目设置范围或节目套数审批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乡镇设立广播电视站和机关、部队、团体、企业</w:t>
            </w:r>
            <w:r>
              <w:rPr>
                <w:rFonts w:hint="eastAsia" w:ascii="仿宋_GB2312" w:hAnsi="仿宋_GB2312" w:eastAsia="仿宋_GB2312" w:cs="仿宋_GB2312"/>
                <w:color w:val="000000"/>
                <w:spacing w:val="-11"/>
                <w:sz w:val="24"/>
                <w:szCs w:val="24"/>
              </w:rPr>
              <w:t>事业单位设立有线广播电视站审批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《广播电视站审批管理暂行规定》</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有线广播电视传输覆盖网工程验收审核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广播电视视频点播业务审批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区文化和旅游局（受理省广电局事权事项并逐级上报）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《广播电视视频点播业务管理办法》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卫星电视广播地面接收设施安装服务许可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《卫星电视广播地面接收设施管理规定》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《卫星电视广播地面接收设施安装服务暂行办法》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《广电总局关于设立卫星地面接收设施安装服务机构审批事项的通知》（广发〔2010〕24号）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设置卫星电视广播地面接收设施审批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《卫星电视广播地面接收设施管理规定》</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出版物零售业务经营许可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印刷企业设立、变更、兼并、合并、分立审批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《印刷业管理条例》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电影放映单位设立审批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区行政审批服务局（受省电影局委托实施）；区行政审批服务局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《中华人民共和国电影产业促进法》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《外商投资电影院暂行规定》</w:t>
            </w:r>
          </w:p>
          <w:p>
            <w:pPr>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《山东省人民政府关于委托实施部分省级行政权力事项的决定》（省政府令第351号）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饮用水供水单位卫生许可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《中华人民共和国传染病防治法》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医疗机构建设项目放射性职业病危害预评价报告审核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《中华人民共和国职业病防治法》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医疗机构建设项目放射性职业病防护设施竣工验收</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《中华人民共和国职业病防治法》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医疗机构执业登记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母婴保健技术服务机构执业许可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《中华人民共和国母婴保健法实施办法》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《母婴保健专项技术服务许可及人员资格管理办法》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放射源诊疗技术和医用辐射机构许可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《放射性同位素与射线装置安全和防护条例》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单采血浆站设置审批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区行政审批服务局（初审省卫生健康委〔省中医药局〕事权事项）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《血液制品管理条例》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医师执业注册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《中华人民共和国医师法》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《医师执业注册管理办法》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乡村医生执业注册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《乡村医生从业管理条例》</w:t>
            </w:r>
          </w:p>
        </w:tc>
      </w:tr>
      <w:tr>
        <w:tblPrEx>
          <w:tblCellMar>
            <w:top w:w="0" w:type="dxa"/>
            <w:left w:w="108" w:type="dxa"/>
            <w:bottom w:w="0" w:type="dxa"/>
            <w:right w:w="108" w:type="dxa"/>
          </w:tblCellMar>
        </w:tblPrEx>
        <w:trPr>
          <w:wBefore w:w="0" w:type="dxa"/>
          <w:wAfter w:w="0" w:type="dxa"/>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母婴保健服务人员资格认定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《中华人民共和国母婴保健法实施办法》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《母婴保健专项技术服务许可及人员资格管理办法》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379"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护士执业注册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《护士条例》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确有专长的中医医师资格认定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区卫生健康局（受理省卫生健康委〔省中医药局〕事权事项并逐级上报）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《中医医术确有专长人员医师资格考核注册管理暂行办法》</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确有专长的中医医师执业注册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《中医医术确有专长人员医师资格考核注册管理暂行办法》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中医医疗机构设置审批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中医医疗机构执业登记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石油天然气建设项目安全设施设计审查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《国家安全监管总局办公厅关于明确非煤矿山建设项目安全监管职责等事项的通知》（安监总厅管一〔2013〕143号）</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金属冶炼建设项目安全设施设计审查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《冶金企业和有色金属企业安全生产规定》</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区应急管理局（受市应急管理局委托实施）；区应急管理局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《危险化学品经营许可证管理办法》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生产、储存烟花爆竹建设项目安全设施设计审查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tc>
      </w:tr>
      <w:tr>
        <w:tblPrEx>
          <w:tblCellMar>
            <w:top w:w="0" w:type="dxa"/>
            <w:left w:w="108" w:type="dxa"/>
            <w:bottom w:w="0" w:type="dxa"/>
            <w:right w:w="108" w:type="dxa"/>
          </w:tblCellMar>
        </w:tblPrEx>
        <w:trPr>
          <w:wBefore w:w="0" w:type="dxa"/>
          <w:wAfter w:w="0" w:type="dxa"/>
          <w:trHeight w:val="1498"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区应急管理局（受市应急管理局委托实施）；区应急管理局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《烟花爆竹经营许可实施办法》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3796"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矿山建设项目安全设施设计审查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《煤矿安全监察条例》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《煤矿建设项目安全设施监察规定》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《国家安全监管总局办公厅关于切实做好国家取消和下放投资审批有关建设项目安全监管工作的通知》（安监总厅政法〔2013〕120号）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《国家安全监管总局办公厅关于明确非煤矿山建设项目安全监管职责等事项的通知》（安监总厅管一〔2013〕143号）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《中华人民共和国应急管理部公告》（2021年第1号）</w:t>
            </w:r>
          </w:p>
        </w:tc>
      </w:tr>
      <w:tr>
        <w:tblPrEx>
          <w:tblCellMar>
            <w:top w:w="0" w:type="dxa"/>
            <w:left w:w="108" w:type="dxa"/>
            <w:bottom w:w="0" w:type="dxa"/>
            <w:right w:w="108" w:type="dxa"/>
          </w:tblCellMar>
        </w:tblPrEx>
        <w:trPr>
          <w:wBefore w:w="0" w:type="dxa"/>
          <w:wAfter w:w="0" w:type="dxa"/>
          <w:trHeight w:val="239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食品生产许可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《中华人民共和国食品安全法》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《食品生产许可管理办法》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7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《中华人民共和国食品安全法》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特种设备使用登记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区市场监督管理局（受市市场监督管理局委托实施）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《山东省特种设备安全条例》</w:t>
            </w:r>
          </w:p>
        </w:tc>
      </w:tr>
      <w:tr>
        <w:tblPrEx>
          <w:tblCellMar>
            <w:top w:w="0" w:type="dxa"/>
            <w:left w:w="108" w:type="dxa"/>
            <w:bottom w:w="0" w:type="dxa"/>
            <w:right w:w="108" w:type="dxa"/>
          </w:tblCellMar>
        </w:tblPrEx>
        <w:trPr>
          <w:wBefore w:w="0" w:type="dxa"/>
          <w:wAfter w:w="0" w:type="dxa"/>
          <w:trHeight w:val="1613"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特种设备安全管理和作业人员资格认定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《特种设备作业人员监督管理办法》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tc>
      </w:tr>
      <w:tr>
        <w:trPr>
          <w:wBefore w:w="0" w:type="dxa"/>
          <w:wAfter w:w="0" w:type="dxa"/>
          <w:trHeight w:val="203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计量标准器具核准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《中华人民共和国计量法》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《中华人民共和国计量法实施细则》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《计量标准考核办法》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55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《中华人民共和国公司法》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《中华人民共和国合伙企业法》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《中华人民共和国个人独资企业法》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《中华人民共和国外商投资法》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《中华人民共和国外商投资法实施条例》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个体工商户登记注册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《促进个体工商户发展条例》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农民专业合作社登记注册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《中华人民共和国农民专业合作社法》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49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食品小作坊、小餐饮登记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《山东省食品小作坊小餐饮和食品摊点管理条例》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97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药品零售企业筹建审批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w:t>
            </w:r>
          </w:p>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《中华人民共和国药品管理法实施条例》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2526"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w:t>
            </w:r>
          </w:p>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《中华人民共和国药品管理法实施条例》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114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第二类精神药品零售业务审批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《麻醉药品和精神药品管理条例》</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wBefore w:w="0" w:type="dxa"/>
          <w:wAfter w:w="0" w:type="dxa"/>
          <w:trHeight w:val="2662"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医疗用毒性药品零售企业许可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科研和教学用毒性药品购买审批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《医疗用毒性药品管理办法》</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举办健身气功活动及设立站点审批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《健身气功管理办法》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高危险性体育项目经营许可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《全民健身条例》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临时占用公共体育场地设施审批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举办高危险性体育赛事活动许可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区地方金融监督管理局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农民专业合作社开展信用互助业务审批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区地方金融监督管理局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《山东省地方金融条例》</w:t>
            </w:r>
          </w:p>
        </w:tc>
      </w:tr>
      <w:tr>
        <w:tblPrEx>
          <w:tblCellMar>
            <w:top w:w="0" w:type="dxa"/>
            <w:left w:w="108" w:type="dxa"/>
            <w:bottom w:w="0" w:type="dxa"/>
            <w:right w:w="108" w:type="dxa"/>
          </w:tblCellMar>
        </w:tblPrEx>
        <w:trPr>
          <w:wBefore w:w="0" w:type="dxa"/>
          <w:wAfter w:w="0" w:type="dxa"/>
          <w:trHeight w:val="2973"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一般工程抗震设防要求审定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《山东省防震减灾条例》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《山东省建设工程抗震设防条例》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420"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地震观测环境保护范围内建设工程项目审批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《山东省地震监测设施与地震观测环境保护条例》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宗教活动场所筹备设立审批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区委统战部（区民族宗教事务局）（初审省民族宗教委事权事项）；区委统战部（区民族宗教事务局）（初审市民族宗教事务局事权事项）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宗教活动场所设立、变更、注销登记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wBefore w:w="0" w:type="dxa"/>
          <w:wAfter w:w="0" w:type="dxa"/>
          <w:trHeight w:val="262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宗教活动场所内改建或者新建建筑物许可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区委统战部（区民族宗教事务局）（初审省民族宗教委事权事项）；区委统战部（区民族宗教事务局）（初审市民族宗教事务局事权事项）；区委统战部（区民族宗教事务局）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《宗教事务部分行政许可项目实施办法》（国宗发〔2018〕11号）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宗教临时活动地点审批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wBefore w:w="0" w:type="dxa"/>
          <w:wAfter w:w="0" w:type="dxa"/>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宗教团体、宗教院校、宗教活动场所接受境外捐赠审批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《宗教事务部分行政许可项目实施办法》（国宗发〔2018〕11号）</w:t>
            </w:r>
          </w:p>
        </w:tc>
      </w:tr>
      <w:tr>
        <w:tblPrEx>
          <w:tblCellMar>
            <w:top w:w="0" w:type="dxa"/>
            <w:left w:w="108" w:type="dxa"/>
            <w:bottom w:w="0" w:type="dxa"/>
            <w:right w:w="108" w:type="dxa"/>
          </w:tblCellMar>
        </w:tblPrEx>
        <w:trPr>
          <w:wBefore w:w="0" w:type="dxa"/>
          <w:wAfter w:w="0" w:type="dxa"/>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（区侨办）</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华侨回国定居审批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区行政审批服务局（初审市行政审批服务局事权事项）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《中华人民共和国出境入境管理法》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《华侨回国定居办理工作规定》（国侨发〔2013〕18号）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区档案局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延期移交档案审批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区档案局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《中华人民共和国档案法实施办法》</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区委编办</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区事业单位登记监管局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《事业单位登记管理暂行条例》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《事业单位登记管理暂行条例实施细则》（中央编办发〔2014〕4号）</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历下区消防救援大队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历下区消防救援大队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tc>
      </w:tr>
      <w:tr>
        <w:tblPrEx>
          <w:tblCellMar>
            <w:top w:w="0" w:type="dxa"/>
            <w:left w:w="108" w:type="dxa"/>
            <w:bottom w:w="0" w:type="dxa"/>
            <w:right w:w="108" w:type="dxa"/>
          </w:tblCellMar>
        </w:tblPrEx>
        <w:trPr>
          <w:wBefore w:w="0" w:type="dxa"/>
          <w:wAfter w:w="0" w:type="dxa"/>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历下区税务局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增值税防伪税控系统最高开票限额审批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历下区税务局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tc>
      </w:tr>
      <w:tr>
        <w:tblPrEx>
          <w:tblCellMar>
            <w:top w:w="0" w:type="dxa"/>
            <w:left w:w="108" w:type="dxa"/>
            <w:bottom w:w="0" w:type="dxa"/>
            <w:right w:w="108" w:type="dxa"/>
          </w:tblCellMar>
        </w:tblPrEx>
        <w:trPr>
          <w:wBefore w:w="0" w:type="dxa"/>
          <w:wAfter w:w="0" w:type="dxa"/>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历下区烟草专卖局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历下区烟草专卖局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《中华人民共和国烟草专卖法》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《中华人民共和国烟草专卖法实施条例》</w:t>
            </w:r>
          </w:p>
        </w:tc>
      </w:tr>
    </w:tbl>
    <w:p>
      <w:pPr>
        <w:spacing w:line="20" w:lineRule="exact"/>
        <w:rPr>
          <w:rStyle w:val="32"/>
          <w:rFonts w:ascii="仿宋_GB2312" w:hAnsi="仿宋_GB2312" w:eastAsia="仿宋_GB2312" w:cs="仿宋_GB2312"/>
          <w:sz w:val="32"/>
          <w:szCs w:val="32"/>
        </w:rPr>
        <w:sectPr>
          <w:pgSz w:w="16838" w:h="11906" w:orient="landscape"/>
          <w:pgMar w:top="1588" w:right="2098" w:bottom="1588" w:left="2098" w:header="851" w:footer="1247" w:gutter="0"/>
          <w:pgNumType w:fmt="numberInDash"/>
          <w:cols w:space="425" w:num="1"/>
          <w:docGrid w:type="lines" w:linePitch="312" w:charSpace="0"/>
        </w:sectPr>
      </w:pPr>
      <w:r>
        <w:rPr>
          <w:rStyle w:val="32"/>
          <w:rFonts w:hint="eastAsia" w:ascii="仿宋_GB2312" w:hAnsi="仿宋_GB2312" w:eastAsia="仿宋_GB2312" w:cs="仿宋_GB2312"/>
          <w:sz w:val="32"/>
          <w:szCs w:val="32"/>
        </w:rPr>
        <w:t xml:space="preserve">    </w:t>
      </w:r>
    </w:p>
    <w:p>
      <w:pPr>
        <w:spacing w:line="56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440" w:lineRule="exact"/>
        <w:rPr>
          <w:rFonts w:hint="eastAsia" w:ascii="仿宋_GB2312" w:eastAsia="仿宋_GB2312"/>
          <w:sz w:val="32"/>
          <w:szCs w:val="32"/>
        </w:rPr>
      </w:pPr>
    </w:p>
    <w:p>
      <w:pPr>
        <w:pStyle w:val="5"/>
        <w:spacing w:after="0" w:line="560" w:lineRule="exact"/>
        <w:rPr>
          <w:rFonts w:hint="eastAsia" w:ascii="仿宋_GB2312" w:eastAsia="仿宋_GB2312"/>
          <w:sz w:val="32"/>
          <w:szCs w:val="32"/>
        </w:rPr>
      </w:pPr>
    </w:p>
    <w:p>
      <w:pPr>
        <w:tabs>
          <w:tab w:val="left" w:pos="7920"/>
          <w:tab w:val="left" w:pos="8460"/>
        </w:tabs>
        <w:snapToGrid w:val="0"/>
        <w:spacing w:line="560" w:lineRule="exact"/>
        <w:ind w:firstLine="320" w:firstLineChars="100"/>
        <w:rPr>
          <w:rFonts w:hint="eastAsia" w:ascii="仿宋" w:hAnsi="仿宋" w:eastAsia="仿宋"/>
          <w:sz w:val="32"/>
          <w:szCs w:val="32"/>
        </w:rPr>
      </w:pPr>
    </w:p>
    <w:sectPr>
      <w:footerReference r:id="rId5" w:type="default"/>
      <w:pgSz w:w="11906" w:h="16838"/>
      <w:pgMar w:top="2098" w:right="1588" w:bottom="2098" w:left="1588" w:header="851" w:footer="164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lt;p&gt;">
    <w:altName w:val="Times New Roman"/>
    <w:panose1 w:val="00000000000000000000"/>
    <w:charset w:val="00"/>
    <w:family w:val="roman"/>
    <w:pitch w:val="default"/>
    <w:sig w:usb0="00000003"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hyphenationZone w:val="36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B0"/>
    <w:rsid w:val="00003767"/>
    <w:rsid w:val="00011966"/>
    <w:rsid w:val="00013F62"/>
    <w:rsid w:val="00024F4E"/>
    <w:rsid w:val="000446A6"/>
    <w:rsid w:val="000457BB"/>
    <w:rsid w:val="0006783A"/>
    <w:rsid w:val="00071789"/>
    <w:rsid w:val="00073855"/>
    <w:rsid w:val="00074505"/>
    <w:rsid w:val="00074F80"/>
    <w:rsid w:val="00080AEA"/>
    <w:rsid w:val="00085774"/>
    <w:rsid w:val="00085F06"/>
    <w:rsid w:val="0008659A"/>
    <w:rsid w:val="0009287E"/>
    <w:rsid w:val="000A0C3C"/>
    <w:rsid w:val="000C6A60"/>
    <w:rsid w:val="000D5E5B"/>
    <w:rsid w:val="000E48BC"/>
    <w:rsid w:val="000E5FF7"/>
    <w:rsid w:val="000E69CA"/>
    <w:rsid w:val="000F413C"/>
    <w:rsid w:val="000F66C6"/>
    <w:rsid w:val="000F7608"/>
    <w:rsid w:val="000F7AE3"/>
    <w:rsid w:val="00101F98"/>
    <w:rsid w:val="00103049"/>
    <w:rsid w:val="00110502"/>
    <w:rsid w:val="00111D1D"/>
    <w:rsid w:val="00115F57"/>
    <w:rsid w:val="00120AE5"/>
    <w:rsid w:val="00120E0B"/>
    <w:rsid w:val="001228F8"/>
    <w:rsid w:val="00132EA8"/>
    <w:rsid w:val="00142BAF"/>
    <w:rsid w:val="0016099F"/>
    <w:rsid w:val="00173834"/>
    <w:rsid w:val="001750D4"/>
    <w:rsid w:val="00175711"/>
    <w:rsid w:val="00186B28"/>
    <w:rsid w:val="00190767"/>
    <w:rsid w:val="001A0E8B"/>
    <w:rsid w:val="001A23FD"/>
    <w:rsid w:val="001B6BF5"/>
    <w:rsid w:val="001B7255"/>
    <w:rsid w:val="001C4308"/>
    <w:rsid w:val="001C76CC"/>
    <w:rsid w:val="001E2285"/>
    <w:rsid w:val="001E3B18"/>
    <w:rsid w:val="001F0CB8"/>
    <w:rsid w:val="001F3A8F"/>
    <w:rsid w:val="001F3B92"/>
    <w:rsid w:val="001F5522"/>
    <w:rsid w:val="001F74B8"/>
    <w:rsid w:val="00241F71"/>
    <w:rsid w:val="00245726"/>
    <w:rsid w:val="00247767"/>
    <w:rsid w:val="0024798D"/>
    <w:rsid w:val="00250E7D"/>
    <w:rsid w:val="00254EBE"/>
    <w:rsid w:val="00261C81"/>
    <w:rsid w:val="002862FB"/>
    <w:rsid w:val="002962E1"/>
    <w:rsid w:val="002A1695"/>
    <w:rsid w:val="002A256C"/>
    <w:rsid w:val="002B33B2"/>
    <w:rsid w:val="002B3C1E"/>
    <w:rsid w:val="002C0EF3"/>
    <w:rsid w:val="002C39B4"/>
    <w:rsid w:val="002C44DE"/>
    <w:rsid w:val="002C5A5A"/>
    <w:rsid w:val="002C6DEB"/>
    <w:rsid w:val="002D2A1A"/>
    <w:rsid w:val="002E05E0"/>
    <w:rsid w:val="002E36F3"/>
    <w:rsid w:val="002F14DA"/>
    <w:rsid w:val="00312E65"/>
    <w:rsid w:val="00315124"/>
    <w:rsid w:val="00315C1C"/>
    <w:rsid w:val="00317B9C"/>
    <w:rsid w:val="00321E72"/>
    <w:rsid w:val="00326BDD"/>
    <w:rsid w:val="0033218B"/>
    <w:rsid w:val="00340C66"/>
    <w:rsid w:val="003464C1"/>
    <w:rsid w:val="003466E7"/>
    <w:rsid w:val="0035088E"/>
    <w:rsid w:val="00351A91"/>
    <w:rsid w:val="00353113"/>
    <w:rsid w:val="00356DBC"/>
    <w:rsid w:val="0036797D"/>
    <w:rsid w:val="003707B6"/>
    <w:rsid w:val="00370F68"/>
    <w:rsid w:val="003749DA"/>
    <w:rsid w:val="00380B4D"/>
    <w:rsid w:val="0038653B"/>
    <w:rsid w:val="00391EEB"/>
    <w:rsid w:val="003A0114"/>
    <w:rsid w:val="003A13F6"/>
    <w:rsid w:val="003A169C"/>
    <w:rsid w:val="003A48DE"/>
    <w:rsid w:val="003A60E4"/>
    <w:rsid w:val="003B5AD8"/>
    <w:rsid w:val="003B666E"/>
    <w:rsid w:val="003C4E63"/>
    <w:rsid w:val="003C4EC5"/>
    <w:rsid w:val="003C6620"/>
    <w:rsid w:val="003D0568"/>
    <w:rsid w:val="003D11A0"/>
    <w:rsid w:val="003D41DF"/>
    <w:rsid w:val="003D4B4E"/>
    <w:rsid w:val="003E6374"/>
    <w:rsid w:val="003F35E1"/>
    <w:rsid w:val="00407CE6"/>
    <w:rsid w:val="00411376"/>
    <w:rsid w:val="00411514"/>
    <w:rsid w:val="0041495B"/>
    <w:rsid w:val="0041570A"/>
    <w:rsid w:val="004238C0"/>
    <w:rsid w:val="004278C3"/>
    <w:rsid w:val="004363A1"/>
    <w:rsid w:val="004532AE"/>
    <w:rsid w:val="00455045"/>
    <w:rsid w:val="00455FB6"/>
    <w:rsid w:val="00463F0E"/>
    <w:rsid w:val="00466F90"/>
    <w:rsid w:val="00470B5F"/>
    <w:rsid w:val="00474D18"/>
    <w:rsid w:val="0047508E"/>
    <w:rsid w:val="00481633"/>
    <w:rsid w:val="0048702F"/>
    <w:rsid w:val="00490FC0"/>
    <w:rsid w:val="004944FA"/>
    <w:rsid w:val="00497B21"/>
    <w:rsid w:val="004A1378"/>
    <w:rsid w:val="004A285D"/>
    <w:rsid w:val="004A7EDF"/>
    <w:rsid w:val="004B578D"/>
    <w:rsid w:val="004B5AAD"/>
    <w:rsid w:val="004C341A"/>
    <w:rsid w:val="004C45DB"/>
    <w:rsid w:val="004E0898"/>
    <w:rsid w:val="004E0BBA"/>
    <w:rsid w:val="004E6340"/>
    <w:rsid w:val="004E66F7"/>
    <w:rsid w:val="004F0CDB"/>
    <w:rsid w:val="004F7CD5"/>
    <w:rsid w:val="004F7FD9"/>
    <w:rsid w:val="00515FFA"/>
    <w:rsid w:val="00517268"/>
    <w:rsid w:val="00520664"/>
    <w:rsid w:val="005232E2"/>
    <w:rsid w:val="00530882"/>
    <w:rsid w:val="00533469"/>
    <w:rsid w:val="005435B5"/>
    <w:rsid w:val="00556BCE"/>
    <w:rsid w:val="005646B8"/>
    <w:rsid w:val="00576E55"/>
    <w:rsid w:val="00577125"/>
    <w:rsid w:val="005773A6"/>
    <w:rsid w:val="00584BE5"/>
    <w:rsid w:val="0058568E"/>
    <w:rsid w:val="00586E66"/>
    <w:rsid w:val="005A1049"/>
    <w:rsid w:val="005A3F08"/>
    <w:rsid w:val="005A59B2"/>
    <w:rsid w:val="005B3CF2"/>
    <w:rsid w:val="005C088E"/>
    <w:rsid w:val="005D7E70"/>
    <w:rsid w:val="005E1F97"/>
    <w:rsid w:val="005E3947"/>
    <w:rsid w:val="005E4644"/>
    <w:rsid w:val="006140DF"/>
    <w:rsid w:val="006207A6"/>
    <w:rsid w:val="00623890"/>
    <w:rsid w:val="00623895"/>
    <w:rsid w:val="00627189"/>
    <w:rsid w:val="00636F53"/>
    <w:rsid w:val="00642768"/>
    <w:rsid w:val="00646051"/>
    <w:rsid w:val="0064719B"/>
    <w:rsid w:val="00651DE2"/>
    <w:rsid w:val="00662CA1"/>
    <w:rsid w:val="00670901"/>
    <w:rsid w:val="0068411A"/>
    <w:rsid w:val="006976F8"/>
    <w:rsid w:val="006A0F22"/>
    <w:rsid w:val="006A5983"/>
    <w:rsid w:val="006B1847"/>
    <w:rsid w:val="006C531B"/>
    <w:rsid w:val="006C56B0"/>
    <w:rsid w:val="006D0EBD"/>
    <w:rsid w:val="006D6C09"/>
    <w:rsid w:val="006D6FA0"/>
    <w:rsid w:val="006E6251"/>
    <w:rsid w:val="006E683F"/>
    <w:rsid w:val="006F3678"/>
    <w:rsid w:val="006F645A"/>
    <w:rsid w:val="00711FA6"/>
    <w:rsid w:val="00713675"/>
    <w:rsid w:val="00714118"/>
    <w:rsid w:val="00720466"/>
    <w:rsid w:val="00726BAA"/>
    <w:rsid w:val="00735F99"/>
    <w:rsid w:val="007415C3"/>
    <w:rsid w:val="00741A7E"/>
    <w:rsid w:val="00747718"/>
    <w:rsid w:val="00750E8C"/>
    <w:rsid w:val="00761F81"/>
    <w:rsid w:val="00763F9A"/>
    <w:rsid w:val="00764CFA"/>
    <w:rsid w:val="00774E3D"/>
    <w:rsid w:val="00775E1F"/>
    <w:rsid w:val="0078557C"/>
    <w:rsid w:val="00786D17"/>
    <w:rsid w:val="00791745"/>
    <w:rsid w:val="0079565D"/>
    <w:rsid w:val="007A1E28"/>
    <w:rsid w:val="007A1FE6"/>
    <w:rsid w:val="007A6068"/>
    <w:rsid w:val="007B478E"/>
    <w:rsid w:val="007C065D"/>
    <w:rsid w:val="007C1F04"/>
    <w:rsid w:val="007C2DEB"/>
    <w:rsid w:val="007C419E"/>
    <w:rsid w:val="007C5D15"/>
    <w:rsid w:val="007C79CD"/>
    <w:rsid w:val="007D37E5"/>
    <w:rsid w:val="007D616D"/>
    <w:rsid w:val="007E090F"/>
    <w:rsid w:val="007E37C1"/>
    <w:rsid w:val="007E40AF"/>
    <w:rsid w:val="007E5271"/>
    <w:rsid w:val="007F4E32"/>
    <w:rsid w:val="007F660F"/>
    <w:rsid w:val="007F67C8"/>
    <w:rsid w:val="007F7B69"/>
    <w:rsid w:val="008014BE"/>
    <w:rsid w:val="008055BA"/>
    <w:rsid w:val="0081677F"/>
    <w:rsid w:val="00847296"/>
    <w:rsid w:val="008474FC"/>
    <w:rsid w:val="00847FD2"/>
    <w:rsid w:val="0085149C"/>
    <w:rsid w:val="00854FA8"/>
    <w:rsid w:val="008558F5"/>
    <w:rsid w:val="00860F50"/>
    <w:rsid w:val="00864B5A"/>
    <w:rsid w:val="00866BDB"/>
    <w:rsid w:val="00872635"/>
    <w:rsid w:val="00874022"/>
    <w:rsid w:val="00877E4E"/>
    <w:rsid w:val="00882DB5"/>
    <w:rsid w:val="00885B46"/>
    <w:rsid w:val="00890E66"/>
    <w:rsid w:val="00891266"/>
    <w:rsid w:val="00893451"/>
    <w:rsid w:val="008972D1"/>
    <w:rsid w:val="00897541"/>
    <w:rsid w:val="00897EB7"/>
    <w:rsid w:val="008A12BA"/>
    <w:rsid w:val="008E0E16"/>
    <w:rsid w:val="008E0EE7"/>
    <w:rsid w:val="008E1C05"/>
    <w:rsid w:val="008E34E5"/>
    <w:rsid w:val="008F37DA"/>
    <w:rsid w:val="008F6B39"/>
    <w:rsid w:val="00901171"/>
    <w:rsid w:val="00901D05"/>
    <w:rsid w:val="00911403"/>
    <w:rsid w:val="0091430B"/>
    <w:rsid w:val="00914620"/>
    <w:rsid w:val="009161A5"/>
    <w:rsid w:val="00917F6E"/>
    <w:rsid w:val="00923CC7"/>
    <w:rsid w:val="009244AD"/>
    <w:rsid w:val="00927D8A"/>
    <w:rsid w:val="0093071E"/>
    <w:rsid w:val="009332FA"/>
    <w:rsid w:val="00936C61"/>
    <w:rsid w:val="00942D8F"/>
    <w:rsid w:val="00957F6C"/>
    <w:rsid w:val="009647FD"/>
    <w:rsid w:val="0096523F"/>
    <w:rsid w:val="00965C10"/>
    <w:rsid w:val="00967F74"/>
    <w:rsid w:val="00970169"/>
    <w:rsid w:val="00970B75"/>
    <w:rsid w:val="00970C55"/>
    <w:rsid w:val="0097576A"/>
    <w:rsid w:val="00981036"/>
    <w:rsid w:val="00983D2E"/>
    <w:rsid w:val="00984E93"/>
    <w:rsid w:val="009864A2"/>
    <w:rsid w:val="00987E2A"/>
    <w:rsid w:val="00992B48"/>
    <w:rsid w:val="009931CA"/>
    <w:rsid w:val="00993C4D"/>
    <w:rsid w:val="009941B9"/>
    <w:rsid w:val="009A2E50"/>
    <w:rsid w:val="009C242A"/>
    <w:rsid w:val="009C5616"/>
    <w:rsid w:val="009C5C48"/>
    <w:rsid w:val="009C624B"/>
    <w:rsid w:val="009D0CF0"/>
    <w:rsid w:val="009D4FA8"/>
    <w:rsid w:val="009D61D8"/>
    <w:rsid w:val="009D7A71"/>
    <w:rsid w:val="009E0F27"/>
    <w:rsid w:val="009E2372"/>
    <w:rsid w:val="009F6636"/>
    <w:rsid w:val="00A03D83"/>
    <w:rsid w:val="00A04316"/>
    <w:rsid w:val="00A04952"/>
    <w:rsid w:val="00A1060F"/>
    <w:rsid w:val="00A27D12"/>
    <w:rsid w:val="00A309E3"/>
    <w:rsid w:val="00A47809"/>
    <w:rsid w:val="00A5329D"/>
    <w:rsid w:val="00A564EC"/>
    <w:rsid w:val="00A57EA7"/>
    <w:rsid w:val="00A8150E"/>
    <w:rsid w:val="00A83FCE"/>
    <w:rsid w:val="00A85886"/>
    <w:rsid w:val="00A91DF8"/>
    <w:rsid w:val="00A95092"/>
    <w:rsid w:val="00AA3375"/>
    <w:rsid w:val="00AA5DBB"/>
    <w:rsid w:val="00AB1E2F"/>
    <w:rsid w:val="00AC0011"/>
    <w:rsid w:val="00AC27AC"/>
    <w:rsid w:val="00AE3671"/>
    <w:rsid w:val="00AE4996"/>
    <w:rsid w:val="00AE7DC7"/>
    <w:rsid w:val="00AF4609"/>
    <w:rsid w:val="00B00900"/>
    <w:rsid w:val="00B0226E"/>
    <w:rsid w:val="00B0539F"/>
    <w:rsid w:val="00B069FD"/>
    <w:rsid w:val="00B23D80"/>
    <w:rsid w:val="00B31B86"/>
    <w:rsid w:val="00B3396D"/>
    <w:rsid w:val="00B37C3B"/>
    <w:rsid w:val="00B37E82"/>
    <w:rsid w:val="00B418A4"/>
    <w:rsid w:val="00B466BC"/>
    <w:rsid w:val="00B46C1F"/>
    <w:rsid w:val="00B528B9"/>
    <w:rsid w:val="00B609F9"/>
    <w:rsid w:val="00B61916"/>
    <w:rsid w:val="00B6566C"/>
    <w:rsid w:val="00B7525C"/>
    <w:rsid w:val="00B75EBF"/>
    <w:rsid w:val="00B87969"/>
    <w:rsid w:val="00B9445C"/>
    <w:rsid w:val="00BA03C0"/>
    <w:rsid w:val="00BA5D43"/>
    <w:rsid w:val="00BB12CA"/>
    <w:rsid w:val="00BB2770"/>
    <w:rsid w:val="00BB6326"/>
    <w:rsid w:val="00BC1BEE"/>
    <w:rsid w:val="00BC2644"/>
    <w:rsid w:val="00BC3752"/>
    <w:rsid w:val="00BC448B"/>
    <w:rsid w:val="00BD782E"/>
    <w:rsid w:val="00BE2474"/>
    <w:rsid w:val="00BE2CB4"/>
    <w:rsid w:val="00BE4FED"/>
    <w:rsid w:val="00BF3854"/>
    <w:rsid w:val="00BF7DBA"/>
    <w:rsid w:val="00C14C28"/>
    <w:rsid w:val="00C1667F"/>
    <w:rsid w:val="00C222F3"/>
    <w:rsid w:val="00C22323"/>
    <w:rsid w:val="00C33380"/>
    <w:rsid w:val="00C3718F"/>
    <w:rsid w:val="00C37B5F"/>
    <w:rsid w:val="00C41719"/>
    <w:rsid w:val="00C46273"/>
    <w:rsid w:val="00C51B29"/>
    <w:rsid w:val="00C5311C"/>
    <w:rsid w:val="00C61264"/>
    <w:rsid w:val="00C6441C"/>
    <w:rsid w:val="00C70640"/>
    <w:rsid w:val="00C714B1"/>
    <w:rsid w:val="00C72476"/>
    <w:rsid w:val="00C7421B"/>
    <w:rsid w:val="00C7592B"/>
    <w:rsid w:val="00C8463E"/>
    <w:rsid w:val="00C91F2C"/>
    <w:rsid w:val="00C92B82"/>
    <w:rsid w:val="00C959CC"/>
    <w:rsid w:val="00CA4777"/>
    <w:rsid w:val="00CA70F8"/>
    <w:rsid w:val="00CC2959"/>
    <w:rsid w:val="00CC315B"/>
    <w:rsid w:val="00CC5481"/>
    <w:rsid w:val="00CD46F4"/>
    <w:rsid w:val="00CE41A3"/>
    <w:rsid w:val="00CF27B5"/>
    <w:rsid w:val="00CF2B54"/>
    <w:rsid w:val="00D15C9F"/>
    <w:rsid w:val="00D17E64"/>
    <w:rsid w:val="00D211A0"/>
    <w:rsid w:val="00D25FB0"/>
    <w:rsid w:val="00D31018"/>
    <w:rsid w:val="00D31C3B"/>
    <w:rsid w:val="00D322AB"/>
    <w:rsid w:val="00D33DC5"/>
    <w:rsid w:val="00D441D9"/>
    <w:rsid w:val="00D508E8"/>
    <w:rsid w:val="00D549AE"/>
    <w:rsid w:val="00D66393"/>
    <w:rsid w:val="00D711B2"/>
    <w:rsid w:val="00D71421"/>
    <w:rsid w:val="00D72E1C"/>
    <w:rsid w:val="00D753D4"/>
    <w:rsid w:val="00D77981"/>
    <w:rsid w:val="00D806F8"/>
    <w:rsid w:val="00D81CD0"/>
    <w:rsid w:val="00D82929"/>
    <w:rsid w:val="00D82CA0"/>
    <w:rsid w:val="00D8656F"/>
    <w:rsid w:val="00DA19AB"/>
    <w:rsid w:val="00DA745A"/>
    <w:rsid w:val="00DB2267"/>
    <w:rsid w:val="00DB52A2"/>
    <w:rsid w:val="00DC01C3"/>
    <w:rsid w:val="00DC05EB"/>
    <w:rsid w:val="00DC4439"/>
    <w:rsid w:val="00DC63E3"/>
    <w:rsid w:val="00DD0649"/>
    <w:rsid w:val="00DE032B"/>
    <w:rsid w:val="00DF4EED"/>
    <w:rsid w:val="00DF64A6"/>
    <w:rsid w:val="00DF71BC"/>
    <w:rsid w:val="00E0636F"/>
    <w:rsid w:val="00E07C37"/>
    <w:rsid w:val="00E112AE"/>
    <w:rsid w:val="00E11DDA"/>
    <w:rsid w:val="00E120EF"/>
    <w:rsid w:val="00E15C85"/>
    <w:rsid w:val="00E22694"/>
    <w:rsid w:val="00E2514D"/>
    <w:rsid w:val="00E3007B"/>
    <w:rsid w:val="00E37D40"/>
    <w:rsid w:val="00E4186B"/>
    <w:rsid w:val="00E50405"/>
    <w:rsid w:val="00E518DB"/>
    <w:rsid w:val="00E520A4"/>
    <w:rsid w:val="00E679C7"/>
    <w:rsid w:val="00E738EB"/>
    <w:rsid w:val="00E751BB"/>
    <w:rsid w:val="00E832BE"/>
    <w:rsid w:val="00EB1F7B"/>
    <w:rsid w:val="00EC0A00"/>
    <w:rsid w:val="00EC1A31"/>
    <w:rsid w:val="00EC2BAD"/>
    <w:rsid w:val="00EC516D"/>
    <w:rsid w:val="00EC6C65"/>
    <w:rsid w:val="00ED11D2"/>
    <w:rsid w:val="00ED2D32"/>
    <w:rsid w:val="00EE5225"/>
    <w:rsid w:val="00EF04F3"/>
    <w:rsid w:val="00EF2D52"/>
    <w:rsid w:val="00EF50E4"/>
    <w:rsid w:val="00F02648"/>
    <w:rsid w:val="00F10EF3"/>
    <w:rsid w:val="00F11E84"/>
    <w:rsid w:val="00F1395B"/>
    <w:rsid w:val="00F13CCD"/>
    <w:rsid w:val="00F22285"/>
    <w:rsid w:val="00F23B20"/>
    <w:rsid w:val="00F241A1"/>
    <w:rsid w:val="00F329D9"/>
    <w:rsid w:val="00F34B2A"/>
    <w:rsid w:val="00F35BE1"/>
    <w:rsid w:val="00F41AAA"/>
    <w:rsid w:val="00F51DAA"/>
    <w:rsid w:val="00F53EE4"/>
    <w:rsid w:val="00F543AC"/>
    <w:rsid w:val="00F54929"/>
    <w:rsid w:val="00F615DC"/>
    <w:rsid w:val="00F63480"/>
    <w:rsid w:val="00F6748E"/>
    <w:rsid w:val="00F7161D"/>
    <w:rsid w:val="00F72B9B"/>
    <w:rsid w:val="00F82079"/>
    <w:rsid w:val="00F85095"/>
    <w:rsid w:val="00F85F19"/>
    <w:rsid w:val="00F93F14"/>
    <w:rsid w:val="00FA3D2A"/>
    <w:rsid w:val="00FA42BF"/>
    <w:rsid w:val="00FA49D0"/>
    <w:rsid w:val="00FA6985"/>
    <w:rsid w:val="00FB32AC"/>
    <w:rsid w:val="00FB4911"/>
    <w:rsid w:val="00FC3C49"/>
    <w:rsid w:val="00FD0E8D"/>
    <w:rsid w:val="00FD726E"/>
    <w:rsid w:val="00FE16D6"/>
    <w:rsid w:val="00FE65A0"/>
    <w:rsid w:val="368902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iPriority="1"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1"/>
      <w:lang w:val="en-US" w:eastAsia="zh-CN" w:bidi="ar-SA"/>
    </w:rPr>
  </w:style>
  <w:style w:type="paragraph" w:styleId="2">
    <w:name w:val="heading 1"/>
    <w:basedOn w:val="1"/>
    <w:next w:val="1"/>
    <w:link w:val="37"/>
    <w:qFormat/>
    <w:locked/>
    <w:uiPriority w:val="1"/>
    <w:pPr>
      <w:spacing w:before="41"/>
      <w:ind w:left="720"/>
      <w:jc w:val="left"/>
      <w:outlineLvl w:val="0"/>
    </w:pPr>
    <w:rPr>
      <w:rFonts w:ascii="仿宋" w:hAnsi="仿宋" w:eastAsia="仿宋"/>
      <w:b/>
      <w:bCs/>
      <w:kern w:val="0"/>
      <w:sz w:val="30"/>
      <w:szCs w:val="30"/>
      <w:lang w:eastAsia="en-US"/>
    </w:rPr>
  </w:style>
  <w:style w:type="paragraph" w:styleId="3">
    <w:name w:val="heading 2"/>
    <w:basedOn w:val="1"/>
    <w:next w:val="1"/>
    <w:link w:val="33"/>
    <w:qFormat/>
    <w:locked/>
    <w:uiPriority w:val="9"/>
    <w:pPr>
      <w:keepNext/>
      <w:keepLines/>
      <w:spacing w:before="240" w:after="240" w:line="360" w:lineRule="auto"/>
      <w:ind w:firstLine="200" w:firstLineChars="200"/>
      <w:outlineLvl w:val="1"/>
    </w:pPr>
    <w:rPr>
      <w:rFonts w:ascii="Cambria" w:hAnsi="Cambria" w:eastAsia="黑体"/>
      <w:bCs/>
      <w:sz w:val="32"/>
      <w:szCs w:val="32"/>
    </w:rPr>
  </w:style>
  <w:style w:type="character" w:default="1" w:styleId="15">
    <w:name w:val="Default Paragraph Font"/>
    <w:unhideWhenUsed/>
    <w:uiPriority w:val="1"/>
  </w:style>
  <w:style w:type="table" w:default="1" w:styleId="13">
    <w:name w:val="Normal Table"/>
    <w:semiHidden/>
    <w:unhideWhenUsed/>
    <w:qFormat/>
    <w:uiPriority w:val="99"/>
    <w:tblPr>
      <w:tblStyle w:val="13"/>
      <w:tblCellMar>
        <w:top w:w="0" w:type="dxa"/>
        <w:left w:w="108" w:type="dxa"/>
        <w:bottom w:w="0" w:type="dxa"/>
        <w:right w:w="108" w:type="dxa"/>
      </w:tblCellMar>
    </w:tblPr>
    <w:trPr>
      <w:wBefore w:w="0" w:type="dxa"/>
    </w:trPr>
  </w:style>
  <w:style w:type="paragraph" w:styleId="4">
    <w:name w:val="index 5"/>
    <w:basedOn w:val="1"/>
    <w:next w:val="1"/>
    <w:qFormat/>
    <w:uiPriority w:val="0"/>
    <w:pPr>
      <w:widowControl/>
      <w:ind w:left="1680"/>
      <w:textAlignment w:val="baseline"/>
    </w:pPr>
    <w:rPr>
      <w:rFonts w:ascii="Calibri" w:hAnsi="Calibri"/>
      <w:szCs w:val="24"/>
    </w:rPr>
  </w:style>
  <w:style w:type="paragraph" w:styleId="5">
    <w:name w:val="Body Text"/>
    <w:basedOn w:val="1"/>
    <w:link w:val="24"/>
    <w:unhideWhenUsed/>
    <w:qFormat/>
    <w:uiPriority w:val="1"/>
    <w:pPr>
      <w:spacing w:after="120"/>
    </w:pPr>
  </w:style>
  <w:style w:type="paragraph" w:styleId="6">
    <w:name w:val="Body Text Indent"/>
    <w:basedOn w:val="1"/>
    <w:link w:val="20"/>
    <w:uiPriority w:val="99"/>
    <w:pPr>
      <w:spacing w:line="360" w:lineRule="auto"/>
      <w:ind w:firstLine="640" w:firstLineChars="200"/>
    </w:pPr>
    <w:rPr>
      <w:rFonts w:ascii="仿宋" w:eastAsia="仿宋" w:cs="仿宋"/>
      <w:sz w:val="32"/>
      <w:szCs w:val="32"/>
    </w:rPr>
  </w:style>
  <w:style w:type="paragraph" w:styleId="7">
    <w:name w:val="Date"/>
    <w:basedOn w:val="1"/>
    <w:next w:val="1"/>
    <w:link w:val="27"/>
    <w:unhideWhenUsed/>
    <w:qFormat/>
    <w:uiPriority w:val="0"/>
    <w:pPr>
      <w:ind w:left="100" w:leftChars="2500"/>
    </w:pPr>
    <w:rPr>
      <w:rFonts w:ascii="Calibri" w:hAnsi="Calibri" w:eastAsia="宋体" w:cs="Times New Roman"/>
      <w:szCs w:val="22"/>
    </w:rPr>
  </w:style>
  <w:style w:type="paragraph" w:styleId="8">
    <w:name w:val="Body Text Indent 2"/>
    <w:basedOn w:val="1"/>
    <w:link w:val="34"/>
    <w:semiHidden/>
    <w:unhideWhenUsed/>
    <w:uiPriority w:val="99"/>
    <w:pPr>
      <w:spacing w:after="120" w:line="480" w:lineRule="auto"/>
      <w:ind w:left="420" w:leftChars="200"/>
    </w:pPr>
  </w:style>
  <w:style w:type="paragraph" w:styleId="9">
    <w:name w:val="Balloon Text"/>
    <w:basedOn w:val="1"/>
    <w:link w:val="19"/>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autoSpaceDE w:val="0"/>
      <w:autoSpaceDN w:val="0"/>
      <w:spacing w:before="100" w:beforeAutospacing="1" w:after="100" w:afterAutospacing="1"/>
      <w:jc w:val="left"/>
    </w:pPr>
    <w:rPr>
      <w:rFonts w:ascii="宋体" w:hAnsi="宋体"/>
      <w:kern w:val="0"/>
      <w:sz w:val="24"/>
      <w:szCs w:val="22"/>
    </w:rPr>
  </w:style>
  <w:style w:type="table" w:styleId="14">
    <w:name w:val="Table Grid"/>
    <w:basedOn w:val="13"/>
    <w:qFormat/>
    <w:uiPriority w:val="0"/>
    <w:pPr>
      <w:widowControl w:val="0"/>
      <w:jc w:val="both"/>
    </w:pPr>
    <w:rPr>
      <w:rFonts w:ascii="Times New Roman" w:hAnsi="Times New Roman"/>
      <w:kern w:val="0"/>
      <w:sz w:val="20"/>
      <w:szCs w:val="20"/>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locked/>
    <w:uiPriority w:val="0"/>
    <w:rPr>
      <w:b/>
    </w:rPr>
  </w:style>
  <w:style w:type="character" w:styleId="17">
    <w:name w:val="page number"/>
    <w:basedOn w:val="15"/>
    <w:uiPriority w:val="99"/>
  </w:style>
  <w:style w:type="character" w:styleId="18">
    <w:name w:val="Hyperlink"/>
    <w:semiHidden/>
    <w:unhideWhenUsed/>
    <w:qFormat/>
    <w:uiPriority w:val="99"/>
    <w:rPr>
      <w:color w:val="0000FF"/>
      <w:u w:val="single"/>
    </w:rPr>
  </w:style>
  <w:style w:type="character" w:customStyle="1" w:styleId="19">
    <w:name w:val="批注框文本 Char"/>
    <w:link w:val="9"/>
    <w:qFormat/>
    <w:locked/>
    <w:uiPriority w:val="0"/>
    <w:rPr>
      <w:rFonts w:ascii="Times New Roman" w:hAnsi="Times New Roman" w:eastAsia="宋体" w:cs="Times New Roman"/>
      <w:sz w:val="18"/>
      <w:szCs w:val="18"/>
    </w:rPr>
  </w:style>
  <w:style w:type="character" w:customStyle="1" w:styleId="20">
    <w:name w:val="正文文本缩进 Char"/>
    <w:link w:val="6"/>
    <w:locked/>
    <w:uiPriority w:val="99"/>
    <w:rPr>
      <w:rFonts w:ascii="仿宋" w:hAnsi="Times New Roman" w:eastAsia="仿宋" w:cs="仿宋"/>
      <w:sz w:val="32"/>
      <w:szCs w:val="32"/>
    </w:rPr>
  </w:style>
  <w:style w:type="character" w:customStyle="1" w:styleId="21">
    <w:name w:val="页脚 Char"/>
    <w:link w:val="10"/>
    <w:qFormat/>
    <w:locked/>
    <w:uiPriority w:val="99"/>
    <w:rPr>
      <w:rFonts w:ascii="Times New Roman" w:hAnsi="Times New Roman" w:eastAsia="宋体" w:cs="Times New Roman"/>
      <w:sz w:val="18"/>
      <w:szCs w:val="18"/>
    </w:rPr>
  </w:style>
  <w:style w:type="character" w:customStyle="1" w:styleId="22">
    <w:name w:val="页眉 Char"/>
    <w:link w:val="11"/>
    <w:qFormat/>
    <w:locked/>
    <w:uiPriority w:val="0"/>
    <w:rPr>
      <w:rFonts w:ascii="Times New Roman" w:hAnsi="Times New Roman" w:eastAsia="宋体" w:cs="Times New Roman"/>
      <w:sz w:val="18"/>
      <w:szCs w:val="18"/>
    </w:rPr>
  </w:style>
  <w:style w:type="paragraph" w:customStyle="1" w:styleId="23">
    <w:name w:val="Char Char1 Char"/>
    <w:basedOn w:val="1"/>
    <w:uiPriority w:val="99"/>
    <w:rPr>
      <w:rFonts w:ascii="Tahoma" w:hAnsi="Tahoma" w:eastAsia="仿宋_GB2312" w:cs="Tahoma"/>
      <w:sz w:val="24"/>
      <w:szCs w:val="24"/>
    </w:rPr>
  </w:style>
  <w:style w:type="character" w:customStyle="1" w:styleId="24">
    <w:name w:val="正文文本 Char"/>
    <w:link w:val="5"/>
    <w:qFormat/>
    <w:uiPriority w:val="1"/>
    <w:rPr>
      <w:rFonts w:ascii="Times New Roman" w:hAnsi="Times New Roman"/>
      <w:kern w:val="2"/>
      <w:sz w:val="21"/>
      <w:szCs w:val="21"/>
    </w:rPr>
  </w:style>
  <w:style w:type="character" w:customStyle="1" w:styleId="25">
    <w:name w:val="ask-title"/>
    <w:basedOn w:val="15"/>
    <w:uiPriority w:val="0"/>
  </w:style>
  <w:style w:type="paragraph" w:customStyle="1" w:styleId="26">
    <w:name w:val="p0"/>
    <w:basedOn w:val="1"/>
    <w:qFormat/>
    <w:uiPriority w:val="0"/>
    <w:pPr>
      <w:widowControl/>
      <w:jc w:val="left"/>
    </w:pPr>
    <w:rPr>
      <w:rFonts w:ascii="宋体" w:hAnsi="宋体" w:eastAsia="宋体" w:cs="宋体"/>
      <w:kern w:val="0"/>
      <w:sz w:val="24"/>
      <w:szCs w:val="24"/>
    </w:rPr>
  </w:style>
  <w:style w:type="character" w:customStyle="1" w:styleId="27">
    <w:name w:val="日期 Char"/>
    <w:link w:val="7"/>
    <w:qFormat/>
    <w:uiPriority w:val="0"/>
    <w:rPr>
      <w:rFonts w:ascii="Calibri" w:hAnsi="Calibri" w:eastAsia="宋体" w:cs="Times New Roman"/>
      <w:kern w:val="2"/>
      <w:sz w:val="21"/>
      <w:szCs w:val="22"/>
    </w:rPr>
  </w:style>
  <w:style w:type="paragraph" w:customStyle="1" w:styleId="28">
    <w:name w:val="Char"/>
    <w:basedOn w:val="1"/>
    <w:qFormat/>
    <w:uiPriority w:val="0"/>
    <w:rPr>
      <w:rFonts w:ascii="仿宋_GB2312" w:hAnsi="&lt;p&gt;" w:eastAsia="仿宋_GB2312" w:cs="仿宋_GB2312"/>
      <w:b/>
      <w:bCs/>
      <w:sz w:val="32"/>
      <w:szCs w:val="32"/>
    </w:rPr>
  </w:style>
  <w:style w:type="paragraph" w:styleId="29">
    <w:name w:val="List Paragraph"/>
    <w:basedOn w:val="1"/>
    <w:qFormat/>
    <w:uiPriority w:val="34"/>
    <w:pPr>
      <w:ind w:firstLine="420" w:firstLineChars="200"/>
    </w:pPr>
    <w:rPr>
      <w:rFonts w:ascii="Calibri" w:hAnsi="Calibri" w:eastAsia="宋体" w:cs="Times New Roman"/>
      <w:szCs w:val="22"/>
    </w:rPr>
  </w:style>
  <w:style w:type="paragraph" w:customStyle="1" w:styleId="30">
    <w:name w:val="Char Char Char Char Char Char Char Char Char Char"/>
    <w:basedOn w:val="1"/>
    <w:qFormat/>
    <w:uiPriority w:val="0"/>
    <w:pPr>
      <w:widowControl/>
      <w:spacing w:after="160" w:line="240" w:lineRule="exact"/>
      <w:jc w:val="left"/>
    </w:pPr>
    <w:rPr>
      <w:szCs w:val="20"/>
    </w:rPr>
  </w:style>
  <w:style w:type="paragraph" w:styleId="31">
    <w:name w:val="No Spacing"/>
    <w:qFormat/>
    <w:uiPriority w:val="1"/>
    <w:pPr>
      <w:adjustRightInd w:val="0"/>
      <w:snapToGrid w:val="0"/>
    </w:pPr>
    <w:rPr>
      <w:rFonts w:ascii="Tahoma" w:hAnsi="Tahoma" w:eastAsia="微软雅黑"/>
      <w:sz w:val="22"/>
      <w:szCs w:val="22"/>
      <w:lang w:val="en-US" w:eastAsia="zh-CN" w:bidi="ar-SA"/>
    </w:rPr>
  </w:style>
  <w:style w:type="character" w:customStyle="1" w:styleId="32">
    <w:name w:val="NormalCharacter"/>
    <w:qFormat/>
    <w:uiPriority w:val="0"/>
  </w:style>
  <w:style w:type="character" w:customStyle="1" w:styleId="33">
    <w:name w:val="标题 2 Char"/>
    <w:link w:val="3"/>
    <w:uiPriority w:val="9"/>
    <w:rPr>
      <w:rFonts w:ascii="Cambria" w:hAnsi="Cambria" w:eastAsia="黑体"/>
      <w:bCs/>
      <w:kern w:val="2"/>
      <w:sz w:val="32"/>
      <w:szCs w:val="32"/>
    </w:rPr>
  </w:style>
  <w:style w:type="character" w:customStyle="1" w:styleId="34">
    <w:name w:val="正文文本缩进 2 Char"/>
    <w:link w:val="8"/>
    <w:semiHidden/>
    <w:uiPriority w:val="99"/>
    <w:rPr>
      <w:rFonts w:ascii="Times New Roman" w:hAnsi="Times New Roman"/>
      <w:kern w:val="2"/>
      <w:sz w:val="21"/>
      <w:szCs w:val="21"/>
    </w:rPr>
  </w:style>
  <w:style w:type="paragraph" w:customStyle="1" w:styleId="35">
    <w:name w:val="文件格式"/>
    <w:basedOn w:val="1"/>
    <w:qFormat/>
    <w:uiPriority w:val="0"/>
    <w:pPr>
      <w:widowControl/>
      <w:spacing w:line="460" w:lineRule="atLeast"/>
      <w:ind w:left="1" w:firstLine="419"/>
      <w:textAlignment w:val="bottom"/>
    </w:pPr>
    <w:rPr>
      <w:rFonts w:ascii="Calibri" w:hAnsi="Calibri"/>
      <w:kern w:val="0"/>
      <w:szCs w:val="32"/>
    </w:rPr>
  </w:style>
  <w:style w:type="character" w:customStyle="1" w:styleId="36">
    <w:name w:val="font11"/>
    <w:qFormat/>
    <w:uiPriority w:val="0"/>
    <w:rPr>
      <w:rFonts w:hint="eastAsia" w:ascii="黑体" w:hAnsi="宋体" w:eastAsia="黑体" w:cs="黑体"/>
      <w:color w:val="000000"/>
      <w:sz w:val="28"/>
      <w:szCs w:val="28"/>
      <w:u w:val="none"/>
    </w:rPr>
  </w:style>
  <w:style w:type="character" w:customStyle="1" w:styleId="37">
    <w:name w:val="标题 1 Char"/>
    <w:link w:val="2"/>
    <w:qFormat/>
    <w:uiPriority w:val="1"/>
    <w:rPr>
      <w:rFonts w:ascii="仿宋" w:hAnsi="仿宋" w:eastAsia="仿宋"/>
      <w:b/>
      <w:bCs/>
      <w:sz w:val="30"/>
      <w:szCs w:val="30"/>
      <w:lang w:eastAsia="en-US"/>
    </w:rPr>
  </w:style>
  <w:style w:type="paragraph" w:customStyle="1" w:styleId="38">
    <w:name w:val="列表段落1"/>
    <w:basedOn w:val="1"/>
    <w:qFormat/>
    <w:uiPriority w:val="99"/>
    <w:pPr>
      <w:ind w:firstLine="420" w:firstLineChars="200"/>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43</Pages>
  <Words>24284</Words>
  <Characters>25499</Characters>
  <Lines>193</Lines>
  <Paragraphs>54</Paragraphs>
  <TotalTime>1</TotalTime>
  <ScaleCrop>false</ScaleCrop>
  <LinksUpToDate>false</LinksUpToDate>
  <CharactersWithSpaces>25566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2018-09-10T06:38:00Z</dcterms:created>
  <dc:creator>Administrator</dc:creator>
  <cp:lastModifiedBy>Administrator</cp:lastModifiedBy>
  <cp:lastPrinted>2023-01-29T03:44:00Z</cp:lastPrinted>
  <dcterms:modified xsi:type="dcterms:W3CDTF">2023-07-27T10:07:55Z</dcterms:modified>
  <cp:revision>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12D5511427334BB9A18C4EFD389AFFF1_13</vt:lpwstr>
  </property>
</Properties>
</file>