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60" w:lineRule="exact"/>
        <w:jc w:val="center"/>
        <w:rPr>
          <w:rFonts w:ascii="方正小标宋简体" w:hAnsi="华文中宋" w:eastAsia="方正小标宋简体" w:cs="华文中宋"/>
          <w:color w:val="000000"/>
          <w:sz w:val="44"/>
          <w:szCs w:val="44"/>
        </w:rPr>
      </w:pPr>
    </w:p>
    <w:p>
      <w:pPr>
        <w:pStyle w:val="5"/>
        <w:widowControl/>
        <w:spacing w:beforeAutospacing="0" w:afterAutospacing="0" w:line="560" w:lineRule="exact"/>
        <w:jc w:val="center"/>
        <w:rPr>
          <w:rFonts w:hint="eastAsia" w:ascii="方正小标宋简体" w:hAnsi="华文中宋" w:eastAsia="方正小标宋简体" w:cs="华文中宋"/>
          <w:color w:val="000000"/>
          <w:sz w:val="44"/>
          <w:szCs w:val="44"/>
          <w:lang w:val="en-US" w:eastAsia="zh-CN"/>
        </w:rPr>
      </w:pPr>
      <w:r>
        <w:rPr>
          <w:rFonts w:hint="eastAsia" w:ascii="方正小标宋简体" w:hAnsi="华文中宋" w:eastAsia="方正小标宋简体" w:cs="华文中宋"/>
          <w:color w:val="000000"/>
          <w:sz w:val="44"/>
          <w:szCs w:val="44"/>
        </w:rPr>
        <w:t>济南市历下区</w:t>
      </w:r>
      <w:r>
        <w:rPr>
          <w:rFonts w:hint="eastAsia" w:ascii="方正小标宋简体" w:hAnsi="华文中宋" w:eastAsia="方正小标宋简体" w:cs="华文中宋"/>
          <w:color w:val="000000"/>
          <w:sz w:val="44"/>
          <w:szCs w:val="44"/>
          <w:lang w:val="en-US" w:eastAsia="zh-CN"/>
        </w:rPr>
        <w:t>人民政府</w:t>
      </w:r>
    </w:p>
    <w:p>
      <w:pPr>
        <w:pStyle w:val="5"/>
        <w:widowControl/>
        <w:spacing w:beforeAutospacing="0" w:afterAutospacing="0" w:line="560" w:lineRule="exact"/>
        <w:jc w:val="center"/>
        <w:rPr>
          <w:rFonts w:ascii="方正小标宋简体" w:hAnsi="华文中宋" w:eastAsia="方正小标宋简体" w:cs="华文中宋"/>
          <w:color w:val="000000"/>
          <w:sz w:val="44"/>
          <w:szCs w:val="44"/>
        </w:rPr>
      </w:pPr>
      <w:r>
        <w:rPr>
          <w:rFonts w:hint="eastAsia" w:ascii="方正小标宋简体" w:hAnsi="华文中宋" w:eastAsia="方正小标宋简体" w:cs="华文中宋"/>
          <w:color w:val="000000"/>
          <w:sz w:val="44"/>
          <w:szCs w:val="44"/>
        </w:rPr>
        <w:t>2022年政府信息公开工作年度报告</w:t>
      </w:r>
    </w:p>
    <w:p>
      <w:pPr>
        <w:pStyle w:val="5"/>
        <w:widowControl/>
        <w:spacing w:beforeAutospacing="0" w:afterAutospacing="0" w:line="560" w:lineRule="exact"/>
        <w:jc w:val="center"/>
        <w:rPr>
          <w:rFonts w:ascii="方正小标宋简体" w:hAnsi="华文中宋" w:eastAsia="方正小标宋简体" w:cs="华文中宋"/>
          <w:color w:val="000000"/>
          <w:sz w:val="44"/>
          <w:szCs w:val="44"/>
        </w:rPr>
      </w:pPr>
    </w:p>
    <w:p>
      <w:pPr>
        <w:pStyle w:val="5"/>
        <w:widowControl/>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政府信息公开条例》和《国务院办公厅政府信息与政务公开办公室关于印发&lt;中华人民共和国政府信息公开工作年度报告格式&gt;的通知》（国办公开办函〔2021〕30号）相关要求，现将我区2022年度政府信息公开工作进行总结报告。报告主要由总体情况、主动公开政府信息情况、收到和处理政府信息公开申请情况、政府信息公开行政复议和行政诉讼情况、存在的主要问题及改进情况、其他需要报告的事项等六部分组成。</w:t>
      </w:r>
    </w:p>
    <w:p>
      <w:pPr>
        <w:pStyle w:val="5"/>
        <w:widowControl/>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报告中所列数据的统计期限为2022年1月1日至2022年12月31日。将在济南市历下区人民政府门户网站（http://www.lixia.gov.cn/）对本报告予以公布。如对本报告有疑问，请与济南市历下区政府办公室联系（地址:济南市历下区解放东路99号历下大厦2层,邮政编码:250000,电话:0531-88150105,邮箱:</w:t>
      </w:r>
      <w:r>
        <w:rPr>
          <w:rFonts w:hint="eastAsia" w:ascii="仿宋_GB2312" w:hAnsi="仿宋_GB2312" w:eastAsia="仿宋_GB2312" w:cs="仿宋_GB2312"/>
          <w:sz w:val="32"/>
          <w:szCs w:val="32"/>
        </w:rPr>
        <w:t>jnlxzwgk@jn.shandong.cn</w:t>
      </w:r>
      <w:r>
        <w:rPr>
          <w:rFonts w:hint="eastAsia" w:ascii="仿宋_GB2312" w:hAnsi="仿宋_GB2312" w:eastAsia="仿宋_GB2312" w:cs="仿宋_GB2312"/>
          <w:color w:val="000000"/>
          <w:sz w:val="32"/>
          <w:szCs w:val="32"/>
        </w:rPr>
        <w:t>）。</w:t>
      </w:r>
    </w:p>
    <w:p>
      <w:pPr>
        <w:pStyle w:val="5"/>
        <w:widowControl/>
        <w:spacing w:beforeAutospacing="0" w:afterAutospacing="0" w:line="56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一、总体情况</w:t>
      </w: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sz w:val="32"/>
          <w:szCs w:val="32"/>
        </w:rPr>
        <w:t>2022年，历下区坚持以人民为中心深化政务公开，</w:t>
      </w:r>
      <w:r>
        <w:rPr>
          <w:rFonts w:hint="eastAsia" w:ascii="仿宋_GB2312" w:hAnsi="仿宋_GB2312" w:eastAsia="仿宋_GB2312" w:cs="仿宋_GB2312"/>
          <w:sz w:val="32"/>
          <w:szCs w:val="32"/>
        </w:rPr>
        <w:t>积极打造“公开微历”政务公开工作品牌，全力“重基础、补短板、优渠道、谋创新”，切实加强政策解读，积极回应社会关切，扩大公众参与等工作，全面</w:t>
      </w:r>
      <w:r>
        <w:rPr>
          <w:rFonts w:hint="eastAsia" w:ascii="仿宋_GB2312" w:hAnsi="仿宋_GB2312" w:eastAsia="仿宋_GB2312" w:cs="仿宋_GB2312"/>
          <w:color w:val="000000"/>
          <w:kern w:val="0"/>
          <w:sz w:val="32"/>
          <w:szCs w:val="32"/>
          <w:lang w:bidi="ar"/>
        </w:rPr>
        <w:t>提升了政务公开工作水平，切实满足社会对政府信息的需求，保障群众权益，增加群众获得感。</w:t>
      </w:r>
    </w:p>
    <w:p>
      <w:pPr>
        <w:pStyle w:val="5"/>
        <w:widowControl/>
        <w:spacing w:beforeAutospacing="0" w:afterAutospacing="0" w:line="560" w:lineRule="exact"/>
        <w:ind w:firstLine="640" w:firstLineChars="200"/>
        <w:jc w:val="both"/>
        <w:rPr>
          <w:rFonts w:ascii="楷体_GB2312" w:hAnsi="楷体_GB2312" w:eastAsia="楷体_GB2312" w:cs="楷体_GB2312"/>
          <w:color w:val="000000"/>
          <w:sz w:val="32"/>
          <w:szCs w:val="32"/>
          <w:lang w:bidi="ar"/>
        </w:rPr>
      </w:pPr>
      <w:r>
        <w:rPr>
          <w:rFonts w:hint="eastAsia" w:ascii="楷体_GB2312" w:hAnsi="楷体_GB2312" w:eastAsia="楷体_GB2312" w:cs="楷体_GB2312"/>
          <w:color w:val="000000"/>
          <w:sz w:val="32"/>
          <w:szCs w:val="32"/>
          <w:lang w:bidi="ar"/>
        </w:rPr>
        <w:t>（一）政府信息主动公开情况</w:t>
      </w:r>
    </w:p>
    <w:p>
      <w:pPr>
        <w:pStyle w:val="5"/>
        <w:widowControl/>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2022年，全区通过不同渠道和方式主动公开政府信息3.6万余条，其中政府门户网站公开政府信息2.1万余条，政务新媒体公开政府信息1.5万余条。其中，政府门户网站主动公开政府信息2.1万条，同比去年增加500余条。其中财政预算</w:t>
      </w:r>
      <w:r>
        <w:rPr>
          <w:rFonts w:hint="eastAsia" w:ascii="仿宋_GB2312" w:hAnsi="仿宋_GB2312" w:eastAsia="仿宋_GB2312" w:cs="仿宋_GB2312"/>
          <w:color w:val="000000"/>
          <w:sz w:val="32"/>
          <w:szCs w:val="32"/>
        </w:rPr>
        <w:t>决算、财政收支、财政绩效等财政类信息392条；政府文件、部门文件、政策解读等政策法规类信息420条；政府规划、部门计划、规划解读等规划计划类信息199条；重点领域信息13150条；社会监督类信息1320条；会议公开类信息450条;公共企事业单位信息3560条；其他类1500余条。</w:t>
      </w:r>
    </w:p>
    <w:p>
      <w:pPr>
        <w:widowControl/>
        <w:jc w:val="center"/>
        <w:rPr>
          <w:rFonts w:hint="eastAsia" w:ascii="仿宋_GB2312" w:hAnsi="sans-serif" w:eastAsia="仿宋_GB2312" w:cs="sans-serif"/>
          <w:color w:val="000000"/>
          <w:sz w:val="32"/>
          <w:szCs w:val="32"/>
        </w:rPr>
      </w:pPr>
      <w:r>
        <w:rPr>
          <w:rFonts w:hint="eastAsia" w:ascii="仿宋_GB2312" w:eastAsia="仿宋_GB2312"/>
          <w:sz w:val="32"/>
          <w:szCs w:val="32"/>
        </w:rPr>
        <w:drawing>
          <wp:inline distT="0" distB="0" distL="114300" distR="114300">
            <wp:extent cx="4572000" cy="2743200"/>
            <wp:effectExtent l="0" t="0" r="0" b="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5"/>
        <w:widowControl/>
        <w:spacing w:beforeAutospacing="0" w:afterAutospacing="0" w:line="560" w:lineRule="exact"/>
        <w:ind w:firstLine="420"/>
        <w:jc w:val="both"/>
        <w:rPr>
          <w:rFonts w:hint="eastAsia" w:ascii="楷体_GB2312" w:hAnsi="sans-serif" w:eastAsia="楷体_GB2312" w:cs="sans-serif"/>
          <w:color w:val="000000"/>
          <w:sz w:val="32"/>
          <w:szCs w:val="32"/>
        </w:rPr>
      </w:pPr>
      <w:r>
        <w:rPr>
          <w:rFonts w:hint="eastAsia" w:ascii="楷体_GB2312" w:hAnsi="楷体" w:eastAsia="楷体_GB2312" w:cs="楷体"/>
          <w:color w:val="000000"/>
          <w:sz w:val="32"/>
          <w:szCs w:val="32"/>
        </w:rPr>
        <w:t>（二）依申请公开情况</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规范依申请公开流程，制作完成《依申请公开规范答复指南》，对重点案件开展信息公开联合会商机制、合法性“双审查”机制、“周报送、周晾晒、周督查”全程跟踪管理机制，实现依申请公开答复程序合法、流程合规，强化服务，严谨规范，满足了申请人对政府信息的个性化合理需求。</w:t>
      </w:r>
    </w:p>
    <w:p>
      <w:pPr>
        <w:pStyle w:val="5"/>
        <w:widowControl/>
        <w:spacing w:beforeAutospacing="0" w:afterAutospacing="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drawing>
          <wp:inline distT="0" distB="0" distL="114300" distR="114300">
            <wp:extent cx="4791075" cy="3600450"/>
            <wp:effectExtent l="0" t="0" r="9525" b="0"/>
            <wp:docPr id="5" name="图片 5" descr="84fba956c8dad7d5d798ba1a30042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4fba956c8dad7d5d798ba1a300425f"/>
                    <pic:cNvPicPr>
                      <a:picLocks noChangeAspect="1"/>
                    </pic:cNvPicPr>
                  </pic:nvPicPr>
                  <pic:blipFill>
                    <a:blip r:embed="rId6"/>
                    <a:stretch>
                      <a:fillRect/>
                    </a:stretch>
                  </pic:blipFill>
                  <pic:spPr>
                    <a:xfrm>
                      <a:off x="0" y="0"/>
                      <a:ext cx="4791075" cy="3600450"/>
                    </a:xfrm>
                    <a:prstGeom prst="rect">
                      <a:avLst/>
                    </a:prstGeom>
                  </pic:spPr>
                </pic:pic>
              </a:graphicData>
            </a:graphic>
          </wp:inline>
        </w:drawing>
      </w:r>
    </w:p>
    <w:p>
      <w:pPr>
        <w:pStyle w:val="5"/>
        <w:widowControl/>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区政府共计收到政府信息公开申请215件，结转上年12件，同比去年减少了126件，收到上级政府信息协助调查函10件。申请内容主要涉及到土地征收、房屋拆迁安置、信访等内容。其中予以公开137件，占比约60%；部分公开20件，占比约8%；不同意公开15件，占比约6%；不属于本行政机关44件，占比约19%；申请信息不存在3件，占比约1%；不予办理0件；结转下年8件，占比约3%。依法依规按时答复率100%。</w:t>
      </w:r>
    </w:p>
    <w:p>
      <w:pPr>
        <w:pStyle w:val="5"/>
        <w:widowControl/>
        <w:spacing w:beforeAutospacing="0" w:afterAutospacing="0" w:line="560" w:lineRule="exact"/>
        <w:ind w:firstLine="420"/>
        <w:jc w:val="both"/>
        <w:rPr>
          <w:rFonts w:ascii="楷体_GB2312" w:hAnsi="楷体" w:eastAsia="楷体_GB2312" w:cs="楷体"/>
          <w:color w:val="000000"/>
          <w:sz w:val="32"/>
          <w:szCs w:val="32"/>
        </w:rPr>
      </w:pPr>
      <w:r>
        <w:rPr>
          <w:rFonts w:hint="eastAsia" w:ascii="楷体_GB2312" w:hAnsi="楷体" w:eastAsia="楷体_GB2312" w:cs="楷体"/>
          <w:color w:val="000000"/>
          <w:sz w:val="32"/>
          <w:szCs w:val="32"/>
        </w:rPr>
        <w:t>（三）政府信息管理</w:t>
      </w:r>
    </w:p>
    <w:p>
      <w:pPr>
        <w:pStyle w:val="5"/>
        <w:widowControl/>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完善政府网站信息发布制度，印发《</w:t>
      </w:r>
      <w:r>
        <w:rPr>
          <w:rFonts w:hint="eastAsia" w:ascii="仿宋_GB2312" w:hAnsi="仿宋_GB2312" w:eastAsia="仿宋_GB2312" w:cs="仿宋_GB2312"/>
          <w:sz w:val="32"/>
          <w:szCs w:val="32"/>
        </w:rPr>
        <w:t>历下区政府信息公开保密审查制度》</w:t>
      </w:r>
      <w:r>
        <w:rPr>
          <w:rFonts w:hint="eastAsia" w:ascii="仿宋_GB2312" w:hAnsi="仿宋_GB2312" w:eastAsia="仿宋_GB2312" w:cs="仿宋_GB2312"/>
          <w:color w:val="000000"/>
          <w:sz w:val="32"/>
          <w:szCs w:val="32"/>
        </w:rPr>
        <w:t>，加强政府信息发布前审核管理，确保发布信息安全准确。</w:t>
      </w:r>
      <w:r>
        <w:rPr>
          <w:rFonts w:hint="eastAsia" w:ascii="仿宋_GB2312" w:hAnsi="仿宋_GB2312" w:eastAsia="仿宋_GB2312" w:cs="仿宋_GB2312"/>
          <w:sz w:val="32"/>
          <w:szCs w:val="32"/>
        </w:rPr>
        <w:t>规范工作流程，做好登记备案，落实工作责任，做到全程留痕、有据可查、责任可溯。</w:t>
      </w:r>
      <w:r>
        <w:rPr>
          <w:rFonts w:hint="eastAsia" w:ascii="仿宋_GB2312" w:hAnsi="仿宋_GB2312" w:eastAsia="仿宋_GB2312" w:cs="仿宋_GB2312"/>
          <w:color w:val="000000"/>
          <w:sz w:val="32"/>
          <w:szCs w:val="32"/>
        </w:rPr>
        <w:t>持续做好政府公报数字化工作，确保政府公报纸质档和电子档同步发布。</w:t>
      </w:r>
    </w:p>
    <w:p>
      <w:pPr>
        <w:pStyle w:val="5"/>
        <w:widowControl/>
        <w:spacing w:beforeAutospacing="0" w:afterAutospacing="0"/>
        <w:jc w:val="center"/>
        <w:rPr>
          <w:rFonts w:ascii="仿宋_GB2312" w:hAnsi="仿宋_GB2312" w:eastAsia="仿宋_GB2312" w:cs="仿宋_GB2312"/>
          <w:color w:val="000000"/>
          <w:sz w:val="32"/>
          <w:szCs w:val="32"/>
        </w:rPr>
      </w:pPr>
      <w:r>
        <w:rPr>
          <w:rFonts w:hint="eastAsia" w:ascii="仿宋_GB2312" w:eastAsia="仿宋_GB2312"/>
          <w:sz w:val="32"/>
          <w:szCs w:val="32"/>
        </w:rPr>
        <w:drawing>
          <wp:inline distT="0" distB="0" distL="114300" distR="114300">
            <wp:extent cx="4023995" cy="2801620"/>
            <wp:effectExtent l="19050" t="19050" r="1460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023995" cy="2801620"/>
                    </a:xfrm>
                    <a:prstGeom prst="rect">
                      <a:avLst/>
                    </a:prstGeom>
                    <a:noFill/>
                    <a:ln>
                      <a:solidFill>
                        <a:schemeClr val="tx1"/>
                      </a:solidFill>
                    </a:ln>
                  </pic:spPr>
                </pic:pic>
              </a:graphicData>
            </a:graphic>
          </wp:inline>
        </w:drawing>
      </w:r>
    </w:p>
    <w:p>
      <w:pPr>
        <w:pStyle w:val="5"/>
        <w:widowControl/>
        <w:spacing w:beforeAutospacing="0" w:afterAutospacing="0"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（四）政府信息公开平台建设</w:t>
      </w:r>
    </w:p>
    <w:p>
      <w:pPr>
        <w:spacing w:line="560" w:lineRule="exact"/>
        <w:ind w:firstLine="640" w:firstLineChars="200"/>
        <w:rPr>
          <w:rFonts w:ascii="仿宋_GB2312" w:hAnsi="楷体_GB2312" w:eastAsia="仿宋_GB2312" w:cs="楷体_GB2312"/>
          <w:sz w:val="32"/>
          <w:szCs w:val="32"/>
        </w:rPr>
      </w:pPr>
      <w:r>
        <w:rPr>
          <w:rFonts w:hint="eastAsia" w:ascii="仿宋_GB2312" w:hAnsi="仿宋_GB2312" w:eastAsia="仿宋_GB2312" w:cs="仿宋_GB2312"/>
          <w:color w:val="000000"/>
          <w:sz w:val="32"/>
          <w:szCs w:val="32"/>
        </w:rPr>
        <w:t>优化网站栏目设置，</w:t>
      </w:r>
      <w:r>
        <w:rPr>
          <w:rFonts w:hint="eastAsia" w:ascii="仿宋_GB2312" w:hAnsi="仿宋" w:eastAsia="仿宋_GB2312"/>
          <w:kern w:val="0"/>
          <w:sz w:val="32"/>
          <w:szCs w:val="32"/>
        </w:rPr>
        <w:t>调整历下区门户网站栏目50余个，开设公共企事业单位信息公开专题专栏等13个。</w:t>
      </w:r>
      <w:r>
        <w:rPr>
          <w:rFonts w:hint="eastAsia" w:ascii="仿宋_GB2312" w:hAnsi="仿宋_GB2312" w:eastAsia="仿宋_GB2312" w:cs="仿宋_GB2312"/>
          <w:snapToGrid w:val="0"/>
          <w:kern w:val="0"/>
          <w:sz w:val="32"/>
          <w:szCs w:val="32"/>
        </w:rPr>
        <w:t>建立公共企事业单位信息公开专栏，对教育、卫生、供电领域进行信息公开披露和及时更新，该专栏共覆盖65所学校、18家卫生机构和1家供电企业</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健全完善信息公开体系,实现信息披露制度化、规范化。</w:t>
      </w:r>
    </w:p>
    <w:p>
      <w:pPr>
        <w:pStyle w:val="5"/>
        <w:widowControl/>
        <w:spacing w:beforeAutospacing="0" w:afterAutospacing="0"/>
        <w:jc w:val="both"/>
        <w:rPr>
          <w:rFonts w:ascii="仿宋_GB2312" w:eastAsia="仿宋_GB2312"/>
          <w:sz w:val="32"/>
          <w:szCs w:val="32"/>
        </w:rPr>
      </w:pPr>
      <w:r>
        <w:rPr>
          <w:rFonts w:hint="eastAsia" w:ascii="仿宋_GB2312" w:eastAsia="仿宋_GB2312"/>
          <w:sz w:val="32"/>
          <w:szCs w:val="32"/>
        </w:rPr>
        <w:drawing>
          <wp:inline distT="0" distB="0" distL="114300" distR="114300">
            <wp:extent cx="2667635" cy="1790700"/>
            <wp:effectExtent l="19050" t="19050" r="18415" b="190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676221" cy="1796243"/>
                    </a:xfrm>
                    <a:prstGeom prst="rect">
                      <a:avLst/>
                    </a:prstGeom>
                    <a:noFill/>
                    <a:ln>
                      <a:solidFill>
                        <a:schemeClr val="tx1"/>
                      </a:solidFill>
                    </a:ln>
                  </pic:spPr>
                </pic:pic>
              </a:graphicData>
            </a:graphic>
          </wp:inline>
        </w:drawing>
      </w:r>
      <w:r>
        <w:rPr>
          <w:rFonts w:hint="eastAsia" w:ascii="仿宋_GB2312" w:eastAsia="仿宋_GB2312"/>
          <w:sz w:val="32"/>
          <w:szCs w:val="32"/>
        </w:rPr>
        <w:drawing>
          <wp:inline distT="0" distB="0" distL="114300" distR="114300">
            <wp:extent cx="2424430" cy="1800225"/>
            <wp:effectExtent l="19050" t="19050" r="1397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2434571" cy="1807724"/>
                    </a:xfrm>
                    <a:prstGeom prst="rect">
                      <a:avLst/>
                    </a:prstGeom>
                    <a:noFill/>
                    <a:ln>
                      <a:solidFill>
                        <a:schemeClr val="tx1"/>
                      </a:solidFill>
                    </a:ln>
                  </pic:spPr>
                </pic:pic>
              </a:graphicData>
            </a:graphic>
          </wp:inline>
        </w:drawing>
      </w:r>
    </w:p>
    <w:p>
      <w:pPr>
        <w:pStyle w:val="5"/>
        <w:widowControl/>
        <w:spacing w:beforeAutospacing="0" w:afterAutospacing="0" w:line="560" w:lineRule="exact"/>
        <w:ind w:firstLine="640" w:firstLineChars="200"/>
        <w:jc w:val="both"/>
        <w:rPr>
          <w:rFonts w:ascii="楷体_GB2312" w:hAnsi="楷体" w:eastAsia="楷体_GB2312" w:cs="楷体"/>
          <w:color w:val="000000"/>
          <w:sz w:val="32"/>
          <w:szCs w:val="32"/>
        </w:rPr>
      </w:pPr>
      <w:r>
        <w:rPr>
          <w:rFonts w:hint="eastAsia" w:ascii="楷体_GB2312" w:hAnsi="楷体" w:eastAsia="楷体_GB2312" w:cs="楷体"/>
          <w:color w:val="000000"/>
          <w:sz w:val="32"/>
          <w:szCs w:val="32"/>
        </w:rPr>
        <w:t>（五）做好监督保障工作</w:t>
      </w:r>
    </w:p>
    <w:p>
      <w:pPr>
        <w:spacing w:line="560" w:lineRule="exact"/>
        <w:ind w:firstLine="640" w:firstLineChars="200"/>
        <w:rPr>
          <w:rFonts w:ascii="仿宋_GB2312" w:hAnsi="仿宋" w:eastAsia="仿宋_GB2312"/>
          <w:kern w:val="0"/>
          <w:sz w:val="32"/>
          <w:szCs w:val="32"/>
        </w:rPr>
      </w:pPr>
      <w:r>
        <w:rPr>
          <w:rFonts w:hint="eastAsia" w:ascii="仿宋_GB2312" w:hAnsi="仿宋_GB2312" w:eastAsia="仿宋_GB2312" w:cs="仿宋_GB2312"/>
          <w:color w:val="000000"/>
          <w:sz w:val="32"/>
          <w:szCs w:val="32"/>
        </w:rPr>
        <w:t>强化工作考核，规范开展政务公开考核工作，</w:t>
      </w:r>
      <w:r>
        <w:rPr>
          <w:rFonts w:hint="eastAsia" w:ascii="仿宋_GB2312" w:hAnsi="仿宋" w:eastAsia="仿宋_GB2312"/>
          <w:kern w:val="0"/>
          <w:sz w:val="32"/>
          <w:szCs w:val="32"/>
        </w:rPr>
        <w:t>出台《历下区政务公开考核细则》，从组织管理、制度建设等方面明确考核的目标清单，加强考核管理，切实提高各单位对政务公开工作的重视程度。</w:t>
      </w:r>
      <w:r>
        <w:rPr>
          <w:rFonts w:hint="eastAsia" w:ascii="仿宋_GB2312" w:hAnsi="仿宋_GB2312" w:eastAsia="仿宋_GB2312" w:cs="仿宋_GB2312"/>
          <w:color w:val="000000"/>
          <w:sz w:val="32"/>
          <w:szCs w:val="32"/>
        </w:rPr>
        <w:t>将政务公开工作纳入全区年度综合考核，推进工作落实落细。</w:t>
      </w:r>
      <w:r>
        <w:rPr>
          <w:rFonts w:hint="eastAsia" w:ascii="仿宋_GB2312" w:hAnsi="仿宋" w:eastAsia="仿宋_GB2312"/>
          <w:kern w:val="0"/>
          <w:sz w:val="32"/>
          <w:szCs w:val="32"/>
        </w:rPr>
        <w:t>组织开展全区政务公开工作情况督查，制定印发了《2022年历下区政务公开工作要点》，通过督查工作落实情况，发现各单位工作中存在的问题和困难，有针对性地帮助各单位解决问题，推动政务公开工作有序开展。</w:t>
      </w:r>
    </w:p>
    <w:p>
      <w:pPr>
        <w:pStyle w:val="5"/>
        <w:widowControl/>
        <w:spacing w:beforeAutospacing="0" w:afterAutospacing="0" w:line="560" w:lineRule="exact"/>
        <w:ind w:firstLine="640" w:firstLineChars="200"/>
        <w:jc w:val="both"/>
        <w:rPr>
          <w:rFonts w:ascii="黑体" w:hAnsi="黑体" w:eastAsia="黑体" w:cs="sans-serif"/>
          <w:color w:val="000000"/>
          <w:sz w:val="32"/>
          <w:szCs w:val="32"/>
        </w:rPr>
      </w:pPr>
      <w:r>
        <w:rPr>
          <w:rFonts w:hint="eastAsia" w:ascii="黑体" w:hAnsi="黑体" w:eastAsia="黑体" w:cs="黑体"/>
          <w:color w:val="000000"/>
          <w:sz w:val="32"/>
          <w:szCs w:val="32"/>
        </w:rPr>
        <w:t>二、主动公开政府信息情况</w:t>
      </w:r>
    </w:p>
    <w:tbl>
      <w:tblPr>
        <w:tblStyle w:val="6"/>
        <w:tblW w:w="8515" w:type="dxa"/>
        <w:jc w:val="center"/>
        <w:tblLayout w:type="autofit"/>
        <w:tblCellMar>
          <w:top w:w="15" w:type="dxa"/>
          <w:left w:w="15" w:type="dxa"/>
          <w:bottom w:w="15" w:type="dxa"/>
          <w:right w:w="15" w:type="dxa"/>
        </w:tblCellMar>
      </w:tblPr>
      <w:tblGrid>
        <w:gridCol w:w="2125"/>
        <w:gridCol w:w="2125"/>
        <w:gridCol w:w="2125"/>
        <w:gridCol w:w="2140"/>
      </w:tblGrid>
      <w:tr>
        <w:trPr>
          <w:trHeight w:val="234" w:hRule="atLeast"/>
          <w:jc w:val="center"/>
        </w:trPr>
        <w:tc>
          <w:tcPr>
            <w:tcW w:w="8515"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第二十条第（一）项</w:t>
            </w:r>
          </w:p>
        </w:tc>
      </w:tr>
      <w:tr>
        <w:tblPrEx>
          <w:tblCellMar>
            <w:top w:w="15" w:type="dxa"/>
            <w:left w:w="15" w:type="dxa"/>
            <w:bottom w:w="15" w:type="dxa"/>
            <w:right w:w="15" w:type="dxa"/>
          </w:tblCellMar>
        </w:tblPrEx>
        <w:trPr>
          <w:trHeight w:val="234" w:hRule="atLeast"/>
          <w:jc w:val="center"/>
        </w:trPr>
        <w:tc>
          <w:tcPr>
            <w:tcW w:w="2125" w:type="dxa"/>
            <w:tcBorders>
              <w:top w:val="nil"/>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信息内容</w:t>
            </w:r>
          </w:p>
        </w:tc>
        <w:tc>
          <w:tcPr>
            <w:tcW w:w="2125" w:type="dxa"/>
            <w:tcBorders>
              <w:top w:val="single" w:color="auto" w:sz="4" w:space="0"/>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本年制发件数</w:t>
            </w:r>
          </w:p>
        </w:tc>
        <w:tc>
          <w:tcPr>
            <w:tcW w:w="2125" w:type="dxa"/>
            <w:tcBorders>
              <w:top w:val="single" w:color="auto" w:sz="4" w:space="0"/>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本年废止件数</w:t>
            </w:r>
          </w:p>
        </w:tc>
        <w:tc>
          <w:tcPr>
            <w:tcW w:w="2140" w:type="dxa"/>
            <w:tcBorders>
              <w:top w:val="single" w:color="auto" w:sz="4" w:space="0"/>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现行有效件数</w:t>
            </w:r>
          </w:p>
        </w:tc>
      </w:tr>
      <w:tr>
        <w:tblPrEx>
          <w:tblCellMar>
            <w:top w:w="15" w:type="dxa"/>
            <w:left w:w="15" w:type="dxa"/>
            <w:bottom w:w="15" w:type="dxa"/>
            <w:right w:w="15" w:type="dxa"/>
          </w:tblCellMar>
        </w:tblPrEx>
        <w:trPr>
          <w:trHeight w:val="440" w:hRule="atLeast"/>
          <w:jc w:val="center"/>
        </w:trPr>
        <w:tc>
          <w:tcPr>
            <w:tcW w:w="2125" w:type="dxa"/>
            <w:tcBorders>
              <w:top w:val="nil"/>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规章</w:t>
            </w:r>
          </w:p>
        </w:tc>
        <w:tc>
          <w:tcPr>
            <w:tcW w:w="2125" w:type="dxa"/>
            <w:tcBorders>
              <w:top w:val="nil"/>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0</w:t>
            </w:r>
          </w:p>
        </w:tc>
        <w:tc>
          <w:tcPr>
            <w:tcW w:w="2125" w:type="dxa"/>
            <w:tcBorders>
              <w:top w:val="nil"/>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0</w:t>
            </w:r>
          </w:p>
        </w:tc>
        <w:tc>
          <w:tcPr>
            <w:tcW w:w="2140" w:type="dxa"/>
            <w:tcBorders>
              <w:top w:val="nil"/>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0</w:t>
            </w:r>
          </w:p>
        </w:tc>
      </w:tr>
      <w:tr>
        <w:tblPrEx>
          <w:tblCellMar>
            <w:top w:w="15" w:type="dxa"/>
            <w:left w:w="15" w:type="dxa"/>
            <w:bottom w:w="15" w:type="dxa"/>
            <w:right w:w="15" w:type="dxa"/>
          </w:tblCellMar>
        </w:tblPrEx>
        <w:trPr>
          <w:trHeight w:val="234" w:hRule="atLeast"/>
          <w:jc w:val="center"/>
        </w:trPr>
        <w:tc>
          <w:tcPr>
            <w:tcW w:w="2125" w:type="dxa"/>
            <w:tcBorders>
              <w:top w:val="nil"/>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行政规范性文件</w:t>
            </w:r>
          </w:p>
        </w:tc>
        <w:tc>
          <w:tcPr>
            <w:tcW w:w="2125" w:type="dxa"/>
            <w:tcBorders>
              <w:top w:val="nil"/>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3</w:t>
            </w:r>
          </w:p>
        </w:tc>
        <w:tc>
          <w:tcPr>
            <w:tcW w:w="2125" w:type="dxa"/>
            <w:tcBorders>
              <w:top w:val="nil"/>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3</w:t>
            </w:r>
          </w:p>
        </w:tc>
        <w:tc>
          <w:tcPr>
            <w:tcW w:w="2140" w:type="dxa"/>
            <w:tcBorders>
              <w:top w:val="nil"/>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10</w:t>
            </w:r>
          </w:p>
        </w:tc>
      </w:tr>
      <w:tr>
        <w:tblPrEx>
          <w:tblCellMar>
            <w:top w:w="15" w:type="dxa"/>
            <w:left w:w="15" w:type="dxa"/>
            <w:bottom w:w="15" w:type="dxa"/>
            <w:right w:w="15" w:type="dxa"/>
          </w:tblCellMar>
        </w:tblPrEx>
        <w:trPr>
          <w:trHeight w:val="234" w:hRule="atLeast"/>
          <w:jc w:val="center"/>
        </w:trPr>
        <w:tc>
          <w:tcPr>
            <w:tcW w:w="8515" w:type="dxa"/>
            <w:gridSpan w:val="4"/>
            <w:tcBorders>
              <w:top w:val="nil"/>
              <w:left w:val="single" w:color="auto" w:sz="4" w:space="0"/>
              <w:bottom w:val="single" w:color="auto" w:sz="4" w:space="0"/>
              <w:right w:val="single" w:color="auto" w:sz="4" w:space="0"/>
            </w:tcBorders>
            <w:shd w:val="clear" w:color="auto" w:fill="C6D9F1"/>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第二十条第（五）项</w:t>
            </w:r>
          </w:p>
        </w:tc>
      </w:tr>
      <w:tr>
        <w:tblPrEx>
          <w:tblCellMar>
            <w:top w:w="15" w:type="dxa"/>
            <w:left w:w="15" w:type="dxa"/>
            <w:bottom w:w="15" w:type="dxa"/>
            <w:right w:w="15" w:type="dxa"/>
          </w:tblCellMar>
        </w:tblPrEx>
        <w:trPr>
          <w:trHeight w:val="234" w:hRule="atLeast"/>
          <w:jc w:val="center"/>
        </w:trPr>
        <w:tc>
          <w:tcPr>
            <w:tcW w:w="2125" w:type="dxa"/>
            <w:tcBorders>
              <w:top w:val="nil"/>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信息内容</w:t>
            </w:r>
          </w:p>
        </w:tc>
        <w:tc>
          <w:tcPr>
            <w:tcW w:w="6390" w:type="dxa"/>
            <w:gridSpan w:val="3"/>
            <w:tcBorders>
              <w:top w:val="nil"/>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本年处理决定数量</w:t>
            </w:r>
          </w:p>
        </w:tc>
      </w:tr>
      <w:tr>
        <w:tblPrEx>
          <w:tblCellMar>
            <w:top w:w="15" w:type="dxa"/>
            <w:left w:w="15" w:type="dxa"/>
            <w:bottom w:w="15" w:type="dxa"/>
            <w:right w:w="15" w:type="dxa"/>
          </w:tblCellMar>
        </w:tblPrEx>
        <w:trPr>
          <w:trHeight w:val="234" w:hRule="atLeast"/>
          <w:jc w:val="center"/>
        </w:trPr>
        <w:tc>
          <w:tcPr>
            <w:tcW w:w="2125" w:type="dxa"/>
            <w:tcBorders>
              <w:top w:val="nil"/>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行政许可</w:t>
            </w:r>
          </w:p>
        </w:tc>
        <w:tc>
          <w:tcPr>
            <w:tcW w:w="6390" w:type="dxa"/>
            <w:gridSpan w:val="3"/>
            <w:tcBorders>
              <w:top w:val="nil"/>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71866</w:t>
            </w:r>
          </w:p>
        </w:tc>
      </w:tr>
      <w:tr>
        <w:tblPrEx>
          <w:tblCellMar>
            <w:top w:w="15" w:type="dxa"/>
            <w:left w:w="15" w:type="dxa"/>
            <w:bottom w:w="15" w:type="dxa"/>
            <w:right w:w="15" w:type="dxa"/>
          </w:tblCellMar>
        </w:tblPrEx>
        <w:trPr>
          <w:trHeight w:val="234" w:hRule="atLeast"/>
          <w:jc w:val="center"/>
        </w:trPr>
        <w:tc>
          <w:tcPr>
            <w:tcW w:w="8515" w:type="dxa"/>
            <w:gridSpan w:val="4"/>
            <w:tcBorders>
              <w:top w:val="nil"/>
              <w:left w:val="single" w:color="auto" w:sz="4" w:space="0"/>
              <w:bottom w:val="single" w:color="auto" w:sz="4" w:space="0"/>
              <w:right w:val="single" w:color="auto" w:sz="4" w:space="0"/>
            </w:tcBorders>
            <w:shd w:val="clear" w:color="auto" w:fill="C6D9F1"/>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第二十条第（六）项</w:t>
            </w:r>
          </w:p>
        </w:tc>
      </w:tr>
      <w:tr>
        <w:tblPrEx>
          <w:tblCellMar>
            <w:top w:w="15" w:type="dxa"/>
            <w:left w:w="15" w:type="dxa"/>
            <w:bottom w:w="15" w:type="dxa"/>
            <w:right w:w="15" w:type="dxa"/>
          </w:tblCellMar>
        </w:tblPrEx>
        <w:trPr>
          <w:trHeight w:val="234" w:hRule="atLeast"/>
          <w:jc w:val="center"/>
        </w:trPr>
        <w:tc>
          <w:tcPr>
            <w:tcW w:w="2125" w:type="dxa"/>
            <w:tcBorders>
              <w:top w:val="nil"/>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信息内容</w:t>
            </w:r>
          </w:p>
        </w:tc>
        <w:tc>
          <w:tcPr>
            <w:tcW w:w="6390" w:type="dxa"/>
            <w:gridSpan w:val="3"/>
            <w:tcBorders>
              <w:top w:val="single" w:color="auto" w:sz="4" w:space="0"/>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本年处理决定数量</w:t>
            </w:r>
          </w:p>
        </w:tc>
      </w:tr>
      <w:tr>
        <w:tblPrEx>
          <w:tblCellMar>
            <w:top w:w="15" w:type="dxa"/>
            <w:left w:w="15" w:type="dxa"/>
            <w:bottom w:w="15" w:type="dxa"/>
            <w:right w:w="15" w:type="dxa"/>
          </w:tblCellMar>
        </w:tblPrEx>
        <w:trPr>
          <w:trHeight w:val="234" w:hRule="atLeast"/>
          <w:jc w:val="center"/>
        </w:trPr>
        <w:tc>
          <w:tcPr>
            <w:tcW w:w="2125" w:type="dxa"/>
            <w:tcBorders>
              <w:top w:val="nil"/>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行政处罚</w:t>
            </w:r>
          </w:p>
        </w:tc>
        <w:tc>
          <w:tcPr>
            <w:tcW w:w="6390" w:type="dxa"/>
            <w:gridSpan w:val="3"/>
            <w:tcBorders>
              <w:top w:val="nil"/>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1451</w:t>
            </w:r>
          </w:p>
        </w:tc>
      </w:tr>
      <w:tr>
        <w:tblPrEx>
          <w:tblCellMar>
            <w:top w:w="15" w:type="dxa"/>
            <w:left w:w="15" w:type="dxa"/>
            <w:bottom w:w="15" w:type="dxa"/>
            <w:right w:w="15" w:type="dxa"/>
          </w:tblCellMar>
        </w:tblPrEx>
        <w:trPr>
          <w:trHeight w:val="234" w:hRule="atLeast"/>
          <w:jc w:val="center"/>
        </w:trPr>
        <w:tc>
          <w:tcPr>
            <w:tcW w:w="2125" w:type="dxa"/>
            <w:tcBorders>
              <w:top w:val="nil"/>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行政强制</w:t>
            </w:r>
          </w:p>
        </w:tc>
        <w:tc>
          <w:tcPr>
            <w:tcW w:w="6390" w:type="dxa"/>
            <w:gridSpan w:val="3"/>
            <w:tcBorders>
              <w:top w:val="nil"/>
              <w:left w:val="nil"/>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43</w:t>
            </w:r>
          </w:p>
        </w:tc>
      </w:tr>
      <w:tr>
        <w:tblPrEx>
          <w:tblCellMar>
            <w:top w:w="15" w:type="dxa"/>
            <w:left w:w="15" w:type="dxa"/>
            <w:bottom w:w="15" w:type="dxa"/>
            <w:right w:w="15" w:type="dxa"/>
          </w:tblCellMar>
        </w:tblPrEx>
        <w:trPr>
          <w:trHeight w:val="234" w:hRule="atLeast"/>
          <w:jc w:val="center"/>
        </w:trPr>
        <w:tc>
          <w:tcPr>
            <w:tcW w:w="8515" w:type="dxa"/>
            <w:gridSpan w:val="4"/>
            <w:tcBorders>
              <w:top w:val="nil"/>
              <w:left w:val="single" w:color="auto" w:sz="4" w:space="0"/>
              <w:bottom w:val="single" w:color="auto" w:sz="4" w:space="0"/>
              <w:right w:val="single" w:color="auto" w:sz="4" w:space="0"/>
            </w:tcBorders>
            <w:shd w:val="clear" w:color="auto" w:fill="C6D9F1"/>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第二十条第（八）项</w:t>
            </w:r>
          </w:p>
        </w:tc>
      </w:tr>
      <w:tr>
        <w:tblPrEx>
          <w:tblCellMar>
            <w:top w:w="15" w:type="dxa"/>
            <w:left w:w="15" w:type="dxa"/>
            <w:bottom w:w="15" w:type="dxa"/>
            <w:right w:w="15" w:type="dxa"/>
          </w:tblCellMar>
        </w:tblPrEx>
        <w:trPr>
          <w:trHeight w:val="234" w:hRule="atLeast"/>
          <w:jc w:val="center"/>
        </w:trPr>
        <w:tc>
          <w:tcPr>
            <w:tcW w:w="2125" w:type="dxa"/>
            <w:tcBorders>
              <w:top w:val="nil"/>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信息内容</w:t>
            </w:r>
          </w:p>
        </w:tc>
        <w:tc>
          <w:tcPr>
            <w:tcW w:w="6390" w:type="dxa"/>
            <w:gridSpan w:val="3"/>
            <w:tcBorders>
              <w:top w:val="nil"/>
              <w:left w:val="nil"/>
              <w:bottom w:val="single" w:color="auto" w:sz="4" w:space="0"/>
              <w:right w:val="single" w:color="000000"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本年收费金额（单位：万元）</w:t>
            </w:r>
          </w:p>
        </w:tc>
      </w:tr>
      <w:tr>
        <w:tblPrEx>
          <w:tblCellMar>
            <w:top w:w="15" w:type="dxa"/>
            <w:left w:w="15" w:type="dxa"/>
            <w:bottom w:w="15" w:type="dxa"/>
            <w:right w:w="15" w:type="dxa"/>
          </w:tblCellMar>
        </w:tblPrEx>
        <w:trPr>
          <w:trHeight w:val="234" w:hRule="atLeast"/>
          <w:jc w:val="center"/>
        </w:trPr>
        <w:tc>
          <w:tcPr>
            <w:tcW w:w="2125" w:type="dxa"/>
            <w:tcBorders>
              <w:top w:val="nil"/>
              <w:left w:val="single" w:color="auto" w:sz="4" w:space="0"/>
              <w:bottom w:val="single" w:color="auto" w:sz="4" w:space="0"/>
              <w:right w:val="single" w:color="auto"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行政事业性收费</w:t>
            </w:r>
          </w:p>
        </w:tc>
        <w:tc>
          <w:tcPr>
            <w:tcW w:w="6390" w:type="dxa"/>
            <w:gridSpan w:val="3"/>
            <w:tcBorders>
              <w:top w:val="nil"/>
              <w:left w:val="nil"/>
              <w:bottom w:val="single" w:color="auto" w:sz="4" w:space="0"/>
              <w:right w:val="single" w:color="000000" w:sz="4" w:space="0"/>
            </w:tcBorders>
            <w:shd w:val="clear" w:color="auto" w:fill="auto"/>
            <w:tcMar>
              <w:top w:w="0" w:type="dxa"/>
              <w:left w:w="40" w:type="dxa"/>
              <w:bottom w:w="0" w:type="dxa"/>
              <w:right w:w="4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11609.06</w:t>
            </w:r>
          </w:p>
        </w:tc>
      </w:tr>
    </w:tbl>
    <w:p>
      <w:pPr>
        <w:pStyle w:val="5"/>
        <w:widowControl/>
        <w:spacing w:beforeAutospacing="0" w:afterAutospacing="0" w:line="560" w:lineRule="exact"/>
        <w:ind w:firstLine="640" w:firstLineChars="200"/>
        <w:jc w:val="both"/>
        <w:rPr>
          <w:rFonts w:ascii="黑体" w:hAnsi="黑体" w:eastAsia="黑体" w:cs="sans-serif"/>
          <w:color w:val="000000"/>
          <w:sz w:val="32"/>
          <w:szCs w:val="32"/>
        </w:rPr>
      </w:pPr>
      <w:r>
        <w:rPr>
          <w:rFonts w:hint="eastAsia" w:ascii="黑体" w:hAnsi="黑体" w:eastAsia="黑体" w:cs="黑体"/>
          <w:color w:val="000000"/>
          <w:sz w:val="32"/>
          <w:szCs w:val="32"/>
        </w:rPr>
        <w:t>三、收到和处理政府信息公开申请情况</w:t>
      </w:r>
    </w:p>
    <w:tbl>
      <w:tblPr>
        <w:tblStyle w:val="6"/>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67"/>
        <w:gridCol w:w="920"/>
        <w:gridCol w:w="3170"/>
        <w:gridCol w:w="791"/>
        <w:gridCol w:w="599"/>
        <w:gridCol w:w="599"/>
        <w:gridCol w:w="599"/>
        <w:gridCol w:w="599"/>
        <w:gridCol w:w="62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atLeast"/>
          <w:jc w:val="center"/>
        </w:trPr>
        <w:tc>
          <w:tcPr>
            <w:tcW w:w="4670" w:type="dxa"/>
            <w:gridSpan w:val="3"/>
            <w:vMerge w:val="restart"/>
            <w:shd w:val="clear" w:color="auto" w:fill="auto"/>
            <w:tcMar>
              <w:top w:w="0" w:type="dxa"/>
              <w:left w:w="70" w:type="dxa"/>
              <w:bottom w:w="0" w:type="dxa"/>
              <w:right w:w="7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（本列数据的勾稽关系为：第一项加第二项之和，等于第三项加第四项之和）</w:t>
            </w:r>
          </w:p>
        </w:tc>
        <w:tc>
          <w:tcPr>
            <w:tcW w:w="4688" w:type="dxa"/>
            <w:gridSpan w:val="7"/>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4670" w:type="dxa"/>
            <w:gridSpan w:val="3"/>
            <w:vMerge w:val="continue"/>
            <w:shd w:val="clear" w:color="auto" w:fill="auto"/>
            <w:tcMar>
              <w:top w:w="0" w:type="dxa"/>
              <w:left w:w="70" w:type="dxa"/>
              <w:bottom w:w="0" w:type="dxa"/>
              <w:right w:w="70" w:type="dxa"/>
            </w:tcMar>
            <w:vAlign w:val="center"/>
          </w:tcPr>
          <w:p>
            <w:pPr>
              <w:spacing w:line="400" w:lineRule="exact"/>
              <w:rPr>
                <w:rFonts w:ascii="仿宋_GB2312" w:eastAsia="仿宋_GB2312"/>
                <w:sz w:val="28"/>
                <w:szCs w:val="28"/>
              </w:rPr>
            </w:pPr>
          </w:p>
        </w:tc>
        <w:tc>
          <w:tcPr>
            <w:tcW w:w="805" w:type="dxa"/>
            <w:vMerge w:val="restart"/>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自然人</w:t>
            </w:r>
          </w:p>
        </w:tc>
        <w:tc>
          <w:tcPr>
            <w:tcW w:w="3078" w:type="dxa"/>
            <w:gridSpan w:val="5"/>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法人或其他组织</w:t>
            </w:r>
          </w:p>
        </w:tc>
        <w:tc>
          <w:tcPr>
            <w:tcW w:w="805" w:type="dxa"/>
            <w:vMerge w:val="restart"/>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4670" w:type="dxa"/>
            <w:gridSpan w:val="3"/>
            <w:vMerge w:val="continue"/>
            <w:shd w:val="clear" w:color="auto" w:fill="auto"/>
            <w:tcMar>
              <w:top w:w="0" w:type="dxa"/>
              <w:left w:w="70" w:type="dxa"/>
              <w:bottom w:w="0" w:type="dxa"/>
              <w:right w:w="70" w:type="dxa"/>
            </w:tcMar>
            <w:vAlign w:val="center"/>
          </w:tcPr>
          <w:p>
            <w:pPr>
              <w:spacing w:line="400" w:lineRule="exact"/>
              <w:rPr>
                <w:rFonts w:ascii="仿宋_GB2312" w:eastAsia="仿宋_GB2312"/>
                <w:sz w:val="28"/>
                <w:szCs w:val="28"/>
              </w:rPr>
            </w:pPr>
          </w:p>
        </w:tc>
        <w:tc>
          <w:tcPr>
            <w:tcW w:w="805"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商业</w:t>
            </w:r>
          </w:p>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企业</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科研</w:t>
            </w:r>
          </w:p>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机构</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社会公益组织</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法律服务机构</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其他</w:t>
            </w:r>
          </w:p>
        </w:tc>
        <w:tc>
          <w:tcPr>
            <w:tcW w:w="805"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4670" w:type="dxa"/>
            <w:gridSpan w:val="3"/>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一、本年新收政府信息公开申请数量</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209</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6</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4670" w:type="dxa"/>
            <w:gridSpan w:val="3"/>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二、上年结转政府信息公开申请数量</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12</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restart"/>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三、本年度办理结果</w:t>
            </w:r>
          </w:p>
        </w:tc>
        <w:tc>
          <w:tcPr>
            <w:tcW w:w="4002" w:type="dxa"/>
            <w:gridSpan w:val="2"/>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（一）予以公开</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137</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4002" w:type="dxa"/>
            <w:gridSpan w:val="2"/>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（二）部分公开（区分处理的，只计这一情形，不计其他情形）</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restart"/>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（三）不予公开</w:t>
            </w: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1.属于国家秘密</w:t>
            </w:r>
          </w:p>
        </w:tc>
        <w:tc>
          <w:tcPr>
            <w:tcW w:w="805"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2.其他法律行政法规禁止公开</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3.危及“三安全一稳定”</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4.保护第三方合法权益</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3</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5.属于三类内部事务信息</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6.属于四类过程性信息</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7.属于行政执法案卷</w:t>
            </w:r>
          </w:p>
        </w:tc>
        <w:tc>
          <w:tcPr>
            <w:tcW w:w="805"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8.属于行政查询事项</w:t>
            </w:r>
          </w:p>
        </w:tc>
        <w:tc>
          <w:tcPr>
            <w:tcW w:w="805"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restart"/>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（四）无法提供</w:t>
            </w: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1.本机关不掌握相关政府信息</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42</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2.没有现成信息需要另行制作</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3.补正后申请内容仍不明确</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restart"/>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（五）不予处理</w:t>
            </w: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1.信访举报投诉类申请</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2.重复申请</w:t>
            </w:r>
          </w:p>
        </w:tc>
        <w:tc>
          <w:tcPr>
            <w:tcW w:w="805"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3.要求提供公开出版物</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4.无正当理由大量反复申请</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5.要求行政机关确认或重新出具已获取信息</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restart"/>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（六）其他处理</w:t>
            </w:r>
          </w:p>
        </w:tc>
        <w:tc>
          <w:tcPr>
            <w:tcW w:w="3293"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1.申请人无正当理由逾期不补正、行政机关不再处理其政府信息公开申请</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2.申请人逾期未按收费通知要求缴纳费用、行政机关不再处理其政府信息公开申请</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709"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3293"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3.其他</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3</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 w:hRule="atLeast"/>
          <w:jc w:val="center"/>
        </w:trPr>
        <w:tc>
          <w:tcPr>
            <w:tcW w:w="668" w:type="dxa"/>
            <w:vMerge w:val="continue"/>
            <w:shd w:val="clear" w:color="auto" w:fill="auto"/>
            <w:tcMar>
              <w:top w:w="0" w:type="dxa"/>
              <w:left w:w="40" w:type="dxa"/>
              <w:bottom w:w="0" w:type="dxa"/>
              <w:right w:w="40" w:type="dxa"/>
            </w:tcMar>
            <w:vAlign w:val="center"/>
          </w:tcPr>
          <w:p>
            <w:pPr>
              <w:spacing w:line="400" w:lineRule="exact"/>
              <w:rPr>
                <w:rFonts w:ascii="仿宋_GB2312" w:eastAsia="仿宋_GB2312"/>
                <w:sz w:val="28"/>
                <w:szCs w:val="28"/>
              </w:rPr>
            </w:pPr>
          </w:p>
        </w:tc>
        <w:tc>
          <w:tcPr>
            <w:tcW w:w="4002" w:type="dxa"/>
            <w:gridSpan w:val="2"/>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（七）总计</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217</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670" w:type="dxa"/>
            <w:gridSpan w:val="3"/>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四、结转下年度继续办理</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4</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4</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11"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634"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0</w:t>
            </w:r>
          </w:p>
        </w:tc>
        <w:tc>
          <w:tcPr>
            <w:tcW w:w="805" w:type="dxa"/>
            <w:shd w:val="clear" w:color="auto" w:fill="auto"/>
            <w:tcMar>
              <w:top w:w="0" w:type="dxa"/>
              <w:left w:w="40" w:type="dxa"/>
              <w:bottom w:w="0" w:type="dxa"/>
              <w:right w:w="40" w:type="dxa"/>
            </w:tcMar>
            <w:vAlign w:val="center"/>
          </w:tcPr>
          <w:p>
            <w:pPr>
              <w:pStyle w:val="5"/>
              <w:widowControl/>
              <w:spacing w:beforeAutospacing="0" w:afterAutospacing="0" w:line="400" w:lineRule="exact"/>
              <w:jc w:val="both"/>
              <w:rPr>
                <w:rFonts w:ascii="仿宋_GB2312" w:eastAsia="仿宋_GB2312"/>
                <w:sz w:val="28"/>
                <w:szCs w:val="28"/>
              </w:rPr>
            </w:pPr>
            <w:r>
              <w:rPr>
                <w:rFonts w:hint="eastAsia" w:ascii="仿宋_GB2312" w:eastAsia="仿宋_GB2312"/>
                <w:sz w:val="28"/>
                <w:szCs w:val="28"/>
              </w:rPr>
              <w:t>8</w:t>
            </w:r>
          </w:p>
        </w:tc>
      </w:tr>
    </w:tbl>
    <w:p>
      <w:pPr>
        <w:pStyle w:val="5"/>
        <w:widowControl/>
        <w:spacing w:beforeAutospacing="0" w:afterAutospacing="0" w:line="560" w:lineRule="exact"/>
        <w:ind w:firstLine="640" w:firstLineChars="200"/>
        <w:jc w:val="both"/>
        <w:rPr>
          <w:rFonts w:ascii="黑体" w:hAnsi="黑体" w:eastAsia="黑体" w:cs="sans-serif"/>
          <w:color w:val="000000"/>
          <w:sz w:val="32"/>
          <w:szCs w:val="32"/>
        </w:rPr>
      </w:pPr>
      <w:r>
        <w:rPr>
          <w:rFonts w:hint="eastAsia" w:ascii="黑体" w:hAnsi="黑体" w:eastAsia="黑体" w:cs="黑体"/>
          <w:color w:val="000000"/>
          <w:sz w:val="32"/>
          <w:szCs w:val="32"/>
        </w:rPr>
        <w:t>四、政府信息公开行政复议、行政诉讼情况</w:t>
      </w:r>
    </w:p>
    <w:tbl>
      <w:tblPr>
        <w:tblStyle w:val="6"/>
        <w:tblW w:w="92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3"/>
        <w:gridCol w:w="613"/>
        <w:gridCol w:w="613"/>
        <w:gridCol w:w="613"/>
        <w:gridCol w:w="621"/>
        <w:gridCol w:w="613"/>
        <w:gridCol w:w="614"/>
        <w:gridCol w:w="613"/>
        <w:gridCol w:w="613"/>
        <w:gridCol w:w="621"/>
        <w:gridCol w:w="613"/>
        <w:gridCol w:w="613"/>
        <w:gridCol w:w="613"/>
        <w:gridCol w:w="613"/>
        <w:gridCol w:w="613"/>
        <w:gridCol w:w="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3078"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行政复议</w:t>
            </w:r>
          </w:p>
        </w:tc>
        <w:tc>
          <w:tcPr>
            <w:tcW w:w="6158" w:type="dxa"/>
            <w:gridSpan w:val="11"/>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42" w:hRule="atLeast"/>
          <w:jc w:val="center"/>
        </w:trPr>
        <w:tc>
          <w:tcPr>
            <w:tcW w:w="614"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结果维持</w:t>
            </w:r>
          </w:p>
        </w:tc>
        <w:tc>
          <w:tcPr>
            <w:tcW w:w="614"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结果</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纠正</w:t>
            </w:r>
          </w:p>
        </w:tc>
        <w:tc>
          <w:tcPr>
            <w:tcW w:w="614" w:type="dxa"/>
            <w:vMerge w:val="restart"/>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其他</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结果</w:t>
            </w:r>
          </w:p>
        </w:tc>
        <w:tc>
          <w:tcPr>
            <w:tcW w:w="614" w:type="dxa"/>
            <w:vMerge w:val="restart"/>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尚未</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审结</w:t>
            </w:r>
          </w:p>
        </w:tc>
        <w:tc>
          <w:tcPr>
            <w:tcW w:w="619" w:type="dxa"/>
            <w:vMerge w:val="restart"/>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总计</w:t>
            </w:r>
          </w:p>
        </w:tc>
        <w:tc>
          <w:tcPr>
            <w:tcW w:w="3075" w:type="dxa"/>
            <w:gridSpan w:val="5"/>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未经复议直接起诉</w:t>
            </w:r>
          </w:p>
        </w:tc>
        <w:tc>
          <w:tcPr>
            <w:tcW w:w="3083" w:type="dxa"/>
            <w:gridSpan w:val="6"/>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24" w:type="dxa"/>
          <w:trHeight w:val="147" w:hRule="atLeast"/>
          <w:jc w:val="center"/>
        </w:trPr>
        <w:tc>
          <w:tcPr>
            <w:tcW w:w="614" w:type="dxa"/>
            <w:vMerge w:val="continue"/>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spacing w:line="400" w:lineRule="exact"/>
              <w:jc w:val="center"/>
              <w:rPr>
                <w:rFonts w:ascii="仿宋_GB2312" w:eastAsia="仿宋_GB2312"/>
                <w:sz w:val="28"/>
                <w:szCs w:val="28"/>
              </w:rPr>
            </w:pPr>
          </w:p>
        </w:tc>
        <w:tc>
          <w:tcPr>
            <w:tcW w:w="614" w:type="dxa"/>
            <w:vMerge w:val="continue"/>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spacing w:line="400" w:lineRule="exact"/>
              <w:jc w:val="center"/>
              <w:rPr>
                <w:rFonts w:ascii="仿宋_GB2312" w:eastAsia="仿宋_GB2312"/>
                <w:sz w:val="28"/>
                <w:szCs w:val="28"/>
              </w:rPr>
            </w:pPr>
          </w:p>
        </w:tc>
        <w:tc>
          <w:tcPr>
            <w:tcW w:w="614" w:type="dxa"/>
            <w:vMerge w:val="continue"/>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spacing w:line="400" w:lineRule="exact"/>
              <w:jc w:val="center"/>
              <w:rPr>
                <w:rFonts w:ascii="仿宋_GB2312" w:eastAsia="仿宋_GB2312"/>
                <w:sz w:val="28"/>
                <w:szCs w:val="28"/>
              </w:rPr>
            </w:pPr>
          </w:p>
        </w:tc>
        <w:tc>
          <w:tcPr>
            <w:tcW w:w="614" w:type="dxa"/>
            <w:vMerge w:val="continue"/>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spacing w:line="400" w:lineRule="exact"/>
              <w:jc w:val="center"/>
              <w:rPr>
                <w:rFonts w:ascii="仿宋_GB2312" w:eastAsia="仿宋_GB2312"/>
                <w:sz w:val="28"/>
                <w:szCs w:val="28"/>
              </w:rPr>
            </w:pPr>
          </w:p>
        </w:tc>
        <w:tc>
          <w:tcPr>
            <w:tcW w:w="619" w:type="dxa"/>
            <w:vMerge w:val="continue"/>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spacing w:line="400" w:lineRule="exact"/>
              <w:jc w:val="center"/>
              <w:rPr>
                <w:rFonts w:ascii="仿宋_GB2312" w:eastAsia="仿宋_GB2312"/>
                <w:sz w:val="28"/>
                <w:szCs w:val="28"/>
              </w:rPr>
            </w:pPr>
          </w:p>
        </w:tc>
        <w:tc>
          <w:tcPr>
            <w:tcW w:w="61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结果</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维持</w:t>
            </w:r>
          </w:p>
        </w:tc>
        <w:tc>
          <w:tcPr>
            <w:tcW w:w="61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结果</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纠正</w:t>
            </w:r>
          </w:p>
        </w:tc>
        <w:tc>
          <w:tcPr>
            <w:tcW w:w="61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其他</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结果</w:t>
            </w:r>
          </w:p>
        </w:tc>
        <w:tc>
          <w:tcPr>
            <w:tcW w:w="61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尚未</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审结</w:t>
            </w:r>
          </w:p>
        </w:tc>
        <w:tc>
          <w:tcPr>
            <w:tcW w:w="618"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总计</w:t>
            </w:r>
          </w:p>
        </w:tc>
        <w:tc>
          <w:tcPr>
            <w:tcW w:w="61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结果</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维持</w:t>
            </w:r>
          </w:p>
        </w:tc>
        <w:tc>
          <w:tcPr>
            <w:tcW w:w="61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结果</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纠正</w:t>
            </w:r>
          </w:p>
        </w:tc>
        <w:tc>
          <w:tcPr>
            <w:tcW w:w="61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其他</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结果</w:t>
            </w:r>
          </w:p>
        </w:tc>
        <w:tc>
          <w:tcPr>
            <w:tcW w:w="61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尚未</w:t>
            </w:r>
          </w:p>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审结</w:t>
            </w:r>
          </w:p>
        </w:tc>
        <w:tc>
          <w:tcPr>
            <w:tcW w:w="613"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gridAfter w:val="1"/>
          <w:wAfter w:w="24" w:type="dxa"/>
          <w:trHeight w:val="463" w:hRule="atLeast"/>
          <w:jc w:val="center"/>
        </w:trPr>
        <w:tc>
          <w:tcPr>
            <w:tcW w:w="614"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2</w:t>
            </w:r>
          </w:p>
        </w:tc>
        <w:tc>
          <w:tcPr>
            <w:tcW w:w="61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0</w:t>
            </w:r>
          </w:p>
        </w:tc>
        <w:tc>
          <w:tcPr>
            <w:tcW w:w="61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1</w:t>
            </w:r>
          </w:p>
        </w:tc>
        <w:tc>
          <w:tcPr>
            <w:tcW w:w="61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0</w:t>
            </w:r>
            <w:bookmarkStart w:id="0" w:name="_GoBack"/>
            <w:bookmarkEnd w:id="0"/>
          </w:p>
        </w:tc>
        <w:tc>
          <w:tcPr>
            <w:tcW w:w="619"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3</w:t>
            </w:r>
          </w:p>
        </w:tc>
        <w:tc>
          <w:tcPr>
            <w:tcW w:w="61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0</w:t>
            </w:r>
          </w:p>
        </w:tc>
        <w:tc>
          <w:tcPr>
            <w:tcW w:w="614"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0</w:t>
            </w:r>
          </w:p>
        </w:tc>
        <w:tc>
          <w:tcPr>
            <w:tcW w:w="61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1</w:t>
            </w:r>
          </w:p>
        </w:tc>
        <w:tc>
          <w:tcPr>
            <w:tcW w:w="61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0</w:t>
            </w:r>
          </w:p>
        </w:tc>
        <w:tc>
          <w:tcPr>
            <w:tcW w:w="618"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1</w:t>
            </w:r>
          </w:p>
        </w:tc>
        <w:tc>
          <w:tcPr>
            <w:tcW w:w="61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0</w:t>
            </w:r>
          </w:p>
        </w:tc>
        <w:tc>
          <w:tcPr>
            <w:tcW w:w="61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0</w:t>
            </w:r>
          </w:p>
        </w:tc>
        <w:tc>
          <w:tcPr>
            <w:tcW w:w="61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0</w:t>
            </w:r>
          </w:p>
        </w:tc>
        <w:tc>
          <w:tcPr>
            <w:tcW w:w="61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1</w:t>
            </w:r>
          </w:p>
        </w:tc>
        <w:tc>
          <w:tcPr>
            <w:tcW w:w="613"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pStyle w:val="5"/>
              <w:widowControl/>
              <w:spacing w:beforeAutospacing="0" w:afterAutospacing="0" w:line="400" w:lineRule="exact"/>
              <w:jc w:val="center"/>
              <w:rPr>
                <w:rFonts w:ascii="仿宋_GB2312" w:eastAsia="仿宋_GB2312"/>
                <w:sz w:val="28"/>
                <w:szCs w:val="28"/>
              </w:rPr>
            </w:pPr>
            <w:r>
              <w:rPr>
                <w:rFonts w:hint="eastAsia" w:ascii="仿宋_GB2312" w:eastAsia="仿宋_GB2312"/>
                <w:sz w:val="28"/>
                <w:szCs w:val="28"/>
              </w:rPr>
              <w:t>1</w:t>
            </w:r>
          </w:p>
        </w:tc>
      </w:tr>
    </w:tbl>
    <w:p>
      <w:pPr>
        <w:pStyle w:val="5"/>
        <w:widowControl/>
        <w:spacing w:beforeAutospacing="0" w:afterAutospacing="0" w:line="560" w:lineRule="exact"/>
        <w:ind w:firstLine="640" w:firstLineChars="200"/>
        <w:jc w:val="both"/>
        <w:rPr>
          <w:rFonts w:ascii="黑体" w:hAnsi="黑体" w:eastAsia="黑体" w:cs="sans-serif"/>
          <w:color w:val="000000"/>
          <w:sz w:val="32"/>
          <w:szCs w:val="32"/>
        </w:rPr>
      </w:pPr>
      <w:r>
        <w:rPr>
          <w:rFonts w:hint="eastAsia" w:ascii="黑体" w:hAnsi="黑体" w:eastAsia="黑体" w:cs="黑体"/>
          <w:color w:val="000000"/>
          <w:sz w:val="32"/>
          <w:szCs w:val="32"/>
        </w:rPr>
        <w:t>五、存在的主要问题及改进情况</w:t>
      </w:r>
    </w:p>
    <w:p>
      <w:pPr>
        <w:pStyle w:val="5"/>
        <w:widowControl/>
        <w:spacing w:beforeAutospacing="0" w:afterAutospacing="0" w:line="560" w:lineRule="exact"/>
        <w:ind w:firstLine="640" w:firstLineChars="200"/>
        <w:jc w:val="both"/>
        <w:rPr>
          <w:rFonts w:hint="eastAsia" w:ascii="楷体_GB2312" w:hAnsi="sans-serif" w:eastAsia="楷体_GB2312" w:cs="sans-serif"/>
          <w:color w:val="000000"/>
          <w:sz w:val="32"/>
          <w:szCs w:val="32"/>
        </w:rPr>
      </w:pPr>
      <w:r>
        <w:rPr>
          <w:rFonts w:hint="eastAsia" w:ascii="楷体_GB2312" w:hAnsi="楷体" w:eastAsia="楷体_GB2312" w:cs="楷体"/>
          <w:color w:val="000000"/>
          <w:sz w:val="32"/>
          <w:szCs w:val="32"/>
        </w:rPr>
        <w:t>（一）存在问题</w:t>
      </w:r>
    </w:p>
    <w:p>
      <w:pPr>
        <w:pStyle w:val="5"/>
        <w:widowControl/>
        <w:spacing w:beforeAutospacing="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2022年，我区政务公开工作取得一定成效，但还存在一些问题和不足：一是政策解读形式不够丰富，解读质量不够高。二是公开方式单一，网站体验感需进一步完善。三是公众参与互动方面有待进一步加强。</w:t>
      </w:r>
    </w:p>
    <w:p>
      <w:pPr>
        <w:pStyle w:val="5"/>
        <w:widowControl/>
        <w:spacing w:beforeAutospacing="0" w:afterAutospacing="0"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（二）改进情况及下一步计划</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是更加注重运用多形式、多渠道开展解读，合理运用图片、图表、图解、音频、视频等生动活泼、喜闻乐见的形式进行政策解读，使政策解读传播可视、可读、可感，丰富了解读形式，提高了解读工作质量。下一步，我区将继续</w:t>
      </w:r>
      <w:r>
        <w:rPr>
          <w:rFonts w:hint="eastAsia" w:ascii="仿宋_GB2312" w:hAnsi="仿宋" w:eastAsia="仿宋_GB2312"/>
          <w:kern w:val="0"/>
          <w:sz w:val="32"/>
          <w:szCs w:val="32"/>
        </w:rPr>
        <w:t>以群众视角为依托，不断拓展政策解读渠道的多样性，在文字解读、一图读懂的基础上，完善动画解读、电子书展示、有声朗读、H5展示等多种解读形式，通过解读形式多样性提升政策文件解读质量和效果。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是围绕疫情防控、助企纾困等年度重点工作设置专题，梳理汇总相关政策文件，进一步提升网站使用体验感，进行网站移动端适配及适老化改造，提供全面流畅的“掌上公开服务”及大字版、内容朗读、语音辅助、老年专区等功能，为服务更多人群提供支撑，让公开更高效。下一步，我区将</w:t>
      </w:r>
      <w:r>
        <w:rPr>
          <w:rFonts w:hint="eastAsia" w:ascii="仿宋_GB2312" w:hAnsi="宋体" w:eastAsia="仿宋_GB2312" w:cs="宋体"/>
          <w:color w:val="000000"/>
          <w:kern w:val="0"/>
          <w:sz w:val="32"/>
          <w:szCs w:val="32"/>
        </w:rPr>
        <w:t>聚焦网站专栏标准化、政务新媒体智能化，从群众角度出发，优化页面设置及网站功能，力求页面展示更简洁、内容呈现更直观、查阅更方便。</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三是进一步明确公众参与行政决策的事项范围、参与方式，并向社会公开。建立门户网站网民意见建议审看处理机制，加强部门间沟通协作，对群众诉求限时办理、及时回复。下一步，我区将继续</w:t>
      </w:r>
      <w:r>
        <w:rPr>
          <w:rFonts w:hint="eastAsia" w:ascii="仿宋_GB2312" w:hAnsi="仿宋" w:eastAsia="仿宋_GB2312"/>
          <w:kern w:val="0"/>
          <w:sz w:val="32"/>
          <w:szCs w:val="32"/>
        </w:rPr>
        <w:t>打造以“畅通民意 公开微历”为主题贯穿全年的历下区政务公开系列活动，深化公众参与，强化政民互动，增加互动与了解，进一步提升群众获得感，参与感。</w:t>
      </w:r>
    </w:p>
    <w:p>
      <w:pPr>
        <w:pStyle w:val="5"/>
        <w:widowControl/>
        <w:spacing w:beforeAutospacing="0" w:afterAutospacing="0" w:line="560" w:lineRule="exact"/>
        <w:ind w:firstLine="640" w:firstLineChars="200"/>
        <w:jc w:val="both"/>
        <w:rPr>
          <w:rFonts w:ascii="黑体" w:hAnsi="黑体" w:eastAsia="黑体" w:cs="sans-serif"/>
          <w:color w:val="000000"/>
          <w:sz w:val="32"/>
          <w:szCs w:val="32"/>
        </w:rPr>
      </w:pPr>
      <w:r>
        <w:rPr>
          <w:rFonts w:hint="eastAsia" w:ascii="黑体" w:hAnsi="黑体" w:eastAsia="黑体" w:cs="黑体"/>
          <w:color w:val="000000"/>
          <w:sz w:val="32"/>
          <w:szCs w:val="32"/>
        </w:rPr>
        <w:t>六、其他需要报告的事项</w:t>
      </w:r>
    </w:p>
    <w:p>
      <w:pPr>
        <w:pStyle w:val="5"/>
        <w:widowControl/>
        <w:spacing w:beforeAutospacing="0" w:afterAutospacing="0" w:line="560" w:lineRule="exact"/>
        <w:ind w:firstLine="640" w:firstLineChars="200"/>
        <w:jc w:val="both"/>
        <w:rPr>
          <w:rFonts w:ascii="仿宋_GB2312" w:hAnsi="楷体_GB2312" w:eastAsia="仿宋_GB2312" w:cs="楷体_GB2312"/>
          <w:color w:val="000000"/>
          <w:sz w:val="32"/>
          <w:szCs w:val="32"/>
        </w:rPr>
      </w:pPr>
      <w:r>
        <w:rPr>
          <w:rFonts w:hint="eastAsia" w:ascii="楷体_GB2312" w:hAnsi="楷体_GB2312" w:eastAsia="楷体_GB2312" w:cs="楷体_GB2312"/>
          <w:color w:val="000000"/>
          <w:sz w:val="32"/>
          <w:szCs w:val="32"/>
        </w:rPr>
        <w:t>（一）收取信息处理费的情况：</w:t>
      </w:r>
      <w:r>
        <w:rPr>
          <w:rFonts w:hint="eastAsia" w:ascii="仿宋_GB2312" w:hAnsi="黑体" w:eastAsia="仿宋_GB2312" w:cstheme="minorBidi"/>
          <w:kern w:val="2"/>
          <w:sz w:val="32"/>
          <w:szCs w:val="32"/>
        </w:rPr>
        <w:t>2022年全区办理政府信息公开申请过程中，按照《政府信息公开信息处理费管理办法》要求，未收取信息处理费。</w:t>
      </w:r>
    </w:p>
    <w:p>
      <w:pPr>
        <w:pStyle w:val="5"/>
        <w:widowControl/>
        <w:spacing w:beforeAutospacing="0" w:afterAutospacing="0" w:line="560" w:lineRule="exact"/>
        <w:ind w:firstLine="640" w:firstLineChars="200"/>
        <w:jc w:val="both"/>
        <w:rPr>
          <w:rFonts w:ascii="仿宋_GB2312" w:hAnsi="楷体_GB2312" w:eastAsia="仿宋_GB2312" w:cs="楷体_GB2312"/>
          <w:color w:val="000000"/>
          <w:sz w:val="32"/>
          <w:szCs w:val="32"/>
        </w:rPr>
      </w:pPr>
      <w:r>
        <w:rPr>
          <w:rFonts w:hint="eastAsia" w:ascii="楷体_GB2312" w:hAnsi="楷体_GB2312" w:eastAsia="楷体_GB2312" w:cs="楷体_GB2312"/>
          <w:color w:val="000000"/>
          <w:sz w:val="32"/>
          <w:szCs w:val="32"/>
        </w:rPr>
        <w:t>（二）本行政机关落实上级年度政务公开工作要点情况：</w:t>
      </w:r>
      <w:r>
        <w:rPr>
          <w:rFonts w:hint="eastAsia" w:ascii="仿宋_GB2312" w:hAnsi="黑体" w:eastAsia="仿宋_GB2312"/>
          <w:sz w:val="32"/>
          <w:szCs w:val="32"/>
        </w:rPr>
        <w:t>一是按照省、市下发的政务公开工作要点，结合历下实际，及时出台历下区政务公开工作要点，并将要点下发到各街道、各单位，指导基层对照要点，有效开展政务公开工作。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是邀请政协委员、人大代表以及利益相关社会各界代表等参加2次区政府常务会议。为有效提升公众了解政府、监督政府的意识，定于10月为“政府开放月”，各部门街道共开展活动44次，在省市媒体发表各类宣传报道10余篇。</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三是打造决策公开新模式,线下邀请人大代表、政协委员、政务公开监督员等作为利益相关方代表列席会议，线上通过“今日历下”APP进行全程直播，实现了政府常务会议“线上+线下”全方位公开。</w:t>
      </w:r>
    </w:p>
    <w:p>
      <w:pPr>
        <w:spacing w:line="560" w:lineRule="exact"/>
        <w:ind w:firstLine="640" w:firstLineChars="200"/>
        <w:rPr>
          <w:rFonts w:ascii="仿宋_GB2312" w:hAnsi="楷体" w:eastAsia="仿宋_GB2312" w:cs="楷体"/>
          <w:color w:val="000000"/>
          <w:kern w:val="0"/>
          <w:sz w:val="32"/>
          <w:szCs w:val="32"/>
          <w:lang w:bidi="ar"/>
        </w:rPr>
      </w:pPr>
      <w:r>
        <w:rPr>
          <w:rFonts w:hint="eastAsia" w:ascii="楷体_GB2312" w:hAnsi="楷体" w:eastAsia="楷体_GB2312" w:cs="楷体"/>
          <w:color w:val="000000"/>
          <w:kern w:val="0"/>
          <w:sz w:val="32"/>
          <w:szCs w:val="32"/>
          <w:lang w:bidi="ar"/>
        </w:rPr>
        <w:t>（三）本行政机关人大代表建议和政协提案办理结果公开情况</w:t>
      </w:r>
      <w:r>
        <w:rPr>
          <w:rFonts w:hint="eastAsia" w:ascii="楷体_GB2312" w:hAnsi="楷体_GB2312" w:eastAsia="楷体_GB2312" w:cs="楷体_GB2312"/>
          <w:color w:val="000000"/>
          <w:sz w:val="32"/>
          <w:szCs w:val="32"/>
        </w:rPr>
        <w:t>：</w:t>
      </w:r>
      <w:r>
        <w:rPr>
          <w:rFonts w:hint="eastAsia" w:ascii="仿宋_GB2312" w:hAnsi="仿宋_GB2312" w:eastAsia="仿宋_GB2312" w:cs="仿宋_GB2312"/>
          <w:color w:val="000000"/>
          <w:sz w:val="32"/>
          <w:szCs w:val="32"/>
        </w:rPr>
        <w:t>历下区共承办人大代表建议96件，办复率100%；承办政协提案108件，办复率100%。同时，在区政府门户网站设立专栏，集中发布了全区政府系统人大代表建议和政协委员提案办理结果情况。</w:t>
      </w:r>
    </w:p>
    <w:p>
      <w:pPr>
        <w:pStyle w:val="5"/>
        <w:widowControl/>
        <w:spacing w:beforeAutospacing="0" w:afterAutospacing="0" w:line="560" w:lineRule="exact"/>
        <w:ind w:firstLine="640" w:firstLineChars="200"/>
        <w:jc w:val="both"/>
        <w:rPr>
          <w:rFonts w:ascii="仿宋_GB2312" w:hAnsi="楷体" w:eastAsia="仿宋_GB2312" w:cs="楷体"/>
          <w:color w:val="000000"/>
          <w:sz w:val="32"/>
          <w:szCs w:val="32"/>
        </w:rPr>
      </w:pPr>
      <w:r>
        <w:rPr>
          <w:rFonts w:hint="eastAsia" w:ascii="楷体_GB2312" w:hAnsi="楷体" w:eastAsia="楷体_GB2312" w:cs="楷体"/>
          <w:color w:val="000000"/>
          <w:sz w:val="32"/>
          <w:szCs w:val="32"/>
        </w:rPr>
        <w:t>（四）本行政机关年度政务公开工作创新情况</w:t>
      </w:r>
      <w:r>
        <w:rPr>
          <w:rFonts w:hint="eastAsia" w:ascii="楷体_GB2312" w:hAnsi="楷体_GB2312" w:eastAsia="楷体_GB2312" w:cs="楷体_GB2312"/>
          <w:color w:val="000000"/>
          <w:sz w:val="32"/>
          <w:szCs w:val="32"/>
        </w:rPr>
        <w:t>：</w:t>
      </w:r>
      <w:r>
        <w:rPr>
          <w:rFonts w:hint="eastAsia" w:ascii="仿宋_GB2312" w:hAnsi="仿宋_GB2312" w:eastAsia="仿宋_GB2312" w:cs="仿宋_GB2312"/>
          <w:sz w:val="32"/>
          <w:szCs w:val="32"/>
        </w:rPr>
        <w:t>优化政策推送</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sz w:val="32"/>
          <w:szCs w:val="32"/>
        </w:rPr>
        <w:t>着重补齐政府信息公开内容与企业、群众信息匹配度不高的短板。济南市历下区积极协调区教体局、区商务局、区投促局、区人社局、区民政局等部门，利用“政务微点单”服务，精准对接企业、群众解读要素，提供“点对点”精准高效的政策解读服务，与人民深度互动。截至目前，群众通过门户网站、小程序查询、获取区政府及各部门和街道发布的决策、执行、管理、服务、结果等1500余次。找到群众和企业关心的主题，主动解读重大民生政策，共发布群众关注问题330余项、相关政策解读文件30余件。截至目前，“公开微历”已有用户数5000余个，累计发布信息2000余次、发布政务信息400余篇，完成了从“人找政策”到“政策找人”的转变。</w:t>
      </w:r>
    </w:p>
    <w:p>
      <w:pPr>
        <w:pStyle w:val="5"/>
        <w:widowControl/>
        <w:spacing w:beforeAutospacing="0" w:afterAutospacing="0" w:line="560" w:lineRule="exact"/>
        <w:ind w:firstLine="640" w:firstLineChars="200"/>
        <w:jc w:val="both"/>
        <w:rPr>
          <w:rFonts w:hint="eastAsia" w:ascii="仿宋_GB2312" w:hAnsi="sans-serif" w:eastAsia="仿宋_GB2312" w:cs="sans-serif"/>
          <w:color w:val="000000"/>
          <w:sz w:val="32"/>
          <w:szCs w:val="32"/>
        </w:rPr>
      </w:pPr>
      <w:r>
        <w:rPr>
          <w:rFonts w:hint="eastAsia" w:ascii="仿宋_GB2312" w:hAnsi="楷体" w:eastAsia="仿宋_GB2312" w:cs="楷体"/>
          <w:color w:val="000000"/>
          <w:sz w:val="32"/>
          <w:szCs w:val="32"/>
        </w:rPr>
        <w:t>（五）</w:t>
      </w:r>
      <w:r>
        <w:rPr>
          <w:rFonts w:hint="eastAsia" w:ascii="楷体_GB2312" w:hAnsi="楷体" w:eastAsia="楷体_GB2312" w:cs="楷体"/>
          <w:color w:val="000000"/>
          <w:sz w:val="32"/>
          <w:szCs w:val="32"/>
        </w:rPr>
        <w:t>信息公开工作年度报告数据统计需要说明的事项：</w:t>
      </w:r>
      <w:r>
        <w:rPr>
          <w:rFonts w:hint="eastAsia" w:ascii="仿宋_GB2312" w:hAnsi="楷体" w:eastAsia="仿宋_GB2312" w:cs="楷体"/>
          <w:color w:val="000000"/>
          <w:sz w:val="32"/>
          <w:szCs w:val="32"/>
        </w:rPr>
        <w:t>收到和处理政府信息公开申请情况中，第三项“本年度办理结果”中第（六）项“其他处理”中第3项“其他”中3件依申请公开属于“经检索，信息不存在”。</w:t>
      </w:r>
    </w:p>
    <w:p>
      <w:pPr>
        <w:pStyle w:val="5"/>
        <w:widowControl/>
        <w:spacing w:beforeAutospacing="0" w:afterAutospacing="0" w:line="560" w:lineRule="exact"/>
        <w:ind w:firstLine="640" w:firstLineChars="200"/>
        <w:jc w:val="both"/>
        <w:rPr>
          <w:rFonts w:hint="eastAsia" w:ascii="楷体_GB2312" w:hAnsi="sans-serif" w:eastAsia="楷体_GB2312" w:cs="sans-serif"/>
          <w:color w:val="000000"/>
          <w:sz w:val="32"/>
          <w:szCs w:val="32"/>
        </w:rPr>
      </w:pPr>
      <w:r>
        <w:rPr>
          <w:rFonts w:hint="eastAsia" w:ascii="楷体_GB2312" w:hAnsi="楷体" w:eastAsia="楷体_GB2312" w:cs="楷体"/>
          <w:color w:val="000000"/>
          <w:sz w:val="32"/>
          <w:szCs w:val="32"/>
        </w:rPr>
        <w:t>（六）无需要报告的其他事项；</w:t>
      </w:r>
    </w:p>
    <w:p>
      <w:pPr>
        <w:pStyle w:val="5"/>
        <w:widowControl/>
        <w:spacing w:beforeAutospacing="0" w:afterAutospacing="0" w:line="560" w:lineRule="exact"/>
        <w:ind w:firstLine="640" w:firstLineChars="200"/>
        <w:jc w:val="both"/>
        <w:rPr>
          <w:rFonts w:ascii="楷体_GB2312" w:eastAsia="楷体_GB2312"/>
          <w:sz w:val="32"/>
          <w:szCs w:val="32"/>
        </w:rPr>
      </w:pPr>
      <w:r>
        <w:rPr>
          <w:rFonts w:hint="eastAsia" w:ascii="楷体_GB2312" w:hAnsi="楷体" w:eastAsia="楷体_GB2312" w:cs="楷体"/>
          <w:color w:val="000000"/>
          <w:sz w:val="32"/>
          <w:szCs w:val="32"/>
        </w:rPr>
        <w:t>（七）无其他有关文件专门要求通过政府信息公开工作年度报告予以报告的事项。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919100849"/>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mZlZDNhMzZhNTczMDUyOTkyNWQ3NTJkNmRhMzAifQ=="/>
  </w:docVars>
  <w:rsids>
    <w:rsidRoot w:val="00A06155"/>
    <w:rsid w:val="00020180"/>
    <w:rsid w:val="000C5E58"/>
    <w:rsid w:val="000D7562"/>
    <w:rsid w:val="002219A8"/>
    <w:rsid w:val="00300B06"/>
    <w:rsid w:val="00302815"/>
    <w:rsid w:val="003F6857"/>
    <w:rsid w:val="00592477"/>
    <w:rsid w:val="00613376"/>
    <w:rsid w:val="00617F9D"/>
    <w:rsid w:val="00686212"/>
    <w:rsid w:val="006A7D39"/>
    <w:rsid w:val="007F5303"/>
    <w:rsid w:val="008E037E"/>
    <w:rsid w:val="00A06155"/>
    <w:rsid w:val="00B54B26"/>
    <w:rsid w:val="00CA61F5"/>
    <w:rsid w:val="00CE7224"/>
    <w:rsid w:val="00D41C98"/>
    <w:rsid w:val="00D60621"/>
    <w:rsid w:val="00F0304C"/>
    <w:rsid w:val="00F61649"/>
    <w:rsid w:val="00F74D03"/>
    <w:rsid w:val="013F4842"/>
    <w:rsid w:val="02296CF3"/>
    <w:rsid w:val="02551A35"/>
    <w:rsid w:val="02F45D03"/>
    <w:rsid w:val="03FA3C27"/>
    <w:rsid w:val="048B7990"/>
    <w:rsid w:val="049031F8"/>
    <w:rsid w:val="0730481F"/>
    <w:rsid w:val="073E3CDE"/>
    <w:rsid w:val="0746623A"/>
    <w:rsid w:val="08223681"/>
    <w:rsid w:val="08EF568D"/>
    <w:rsid w:val="099258AF"/>
    <w:rsid w:val="0AEE2A27"/>
    <w:rsid w:val="0B477409"/>
    <w:rsid w:val="0B605C0F"/>
    <w:rsid w:val="0C8510A9"/>
    <w:rsid w:val="0F0930A0"/>
    <w:rsid w:val="0F0C791F"/>
    <w:rsid w:val="1034207B"/>
    <w:rsid w:val="11137BF4"/>
    <w:rsid w:val="119969E3"/>
    <w:rsid w:val="13E74D25"/>
    <w:rsid w:val="150A1692"/>
    <w:rsid w:val="15767E12"/>
    <w:rsid w:val="15874901"/>
    <w:rsid w:val="166A67CF"/>
    <w:rsid w:val="17237FD9"/>
    <w:rsid w:val="1C205444"/>
    <w:rsid w:val="2C2D40AF"/>
    <w:rsid w:val="2ECA5060"/>
    <w:rsid w:val="307B625B"/>
    <w:rsid w:val="31B65712"/>
    <w:rsid w:val="38B8629F"/>
    <w:rsid w:val="38C54A78"/>
    <w:rsid w:val="3978633E"/>
    <w:rsid w:val="3A4A45AA"/>
    <w:rsid w:val="3AA84039"/>
    <w:rsid w:val="3C291261"/>
    <w:rsid w:val="3DD50501"/>
    <w:rsid w:val="3F4C1502"/>
    <w:rsid w:val="40AF309A"/>
    <w:rsid w:val="44AA4EFA"/>
    <w:rsid w:val="47BB61F3"/>
    <w:rsid w:val="48396CD0"/>
    <w:rsid w:val="4A8E50B1"/>
    <w:rsid w:val="4DF76FD6"/>
    <w:rsid w:val="508F56DF"/>
    <w:rsid w:val="56ED6744"/>
    <w:rsid w:val="57384D3B"/>
    <w:rsid w:val="58E51908"/>
    <w:rsid w:val="63C8566C"/>
    <w:rsid w:val="645839E8"/>
    <w:rsid w:val="6A4B1022"/>
    <w:rsid w:val="6D0668D1"/>
    <w:rsid w:val="6D5C4743"/>
    <w:rsid w:val="6DF05A3B"/>
    <w:rsid w:val="6E2947E4"/>
    <w:rsid w:val="71010E6C"/>
    <w:rsid w:val="726F4F19"/>
    <w:rsid w:val="72AD4ED3"/>
    <w:rsid w:val="74AC6DFF"/>
    <w:rsid w:val="77D870BC"/>
    <w:rsid w:val="78A10141"/>
    <w:rsid w:val="7B670D83"/>
    <w:rsid w:val="7D3A73BB"/>
    <w:rsid w:val="7D8C2E23"/>
    <w:rsid w:val="7E617E0B"/>
    <w:rsid w:val="7E957AB5"/>
    <w:rsid w:val="7F13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left="420" w:leftChars="200"/>
      <w:textAlignment w:val="baseline"/>
    </w:p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rFonts w:ascii="Times New Roman" w:hAnsi="Times New Roman" w:eastAsia="黑体"/>
      <w:sz w:val="32"/>
    </w:rPr>
  </w:style>
  <w:style w:type="character" w:styleId="9">
    <w:name w:val="FollowedHyperlink"/>
    <w:basedOn w:val="7"/>
    <w:qFormat/>
    <w:uiPriority w:val="0"/>
    <w:rPr>
      <w:color w:val="333333"/>
      <w:u w:val="none"/>
    </w:rPr>
  </w:style>
  <w:style w:type="character" w:styleId="10">
    <w:name w:val="Hyperlink"/>
    <w:basedOn w:val="7"/>
    <w:qFormat/>
    <w:uiPriority w:val="0"/>
    <w:rPr>
      <w:color w:val="0000FF"/>
      <w:u w:val="single"/>
    </w:rPr>
  </w:style>
  <w:style w:type="character" w:customStyle="1" w:styleId="11">
    <w:name w:val="hover19"/>
    <w:basedOn w:val="7"/>
    <w:qFormat/>
    <w:uiPriority w:val="0"/>
    <w:rPr>
      <w:b/>
      <w:bCs/>
    </w:rPr>
  </w:style>
  <w:style w:type="character" w:customStyle="1" w:styleId="12">
    <w:name w:val="tit11"/>
    <w:basedOn w:val="7"/>
    <w:qFormat/>
    <w:uiPriority w:val="0"/>
    <w:rPr>
      <w:b/>
      <w:bCs/>
      <w:color w:val="333333"/>
      <w:sz w:val="31"/>
      <w:szCs w:val="31"/>
    </w:rPr>
  </w:style>
  <w:style w:type="character" w:customStyle="1" w:styleId="13">
    <w:name w:val="yj-time2"/>
    <w:basedOn w:val="7"/>
    <w:qFormat/>
    <w:uiPriority w:val="0"/>
    <w:rPr>
      <w:color w:val="AAAAAA"/>
      <w:sz w:val="14"/>
      <w:szCs w:val="14"/>
    </w:rPr>
  </w:style>
  <w:style w:type="character" w:customStyle="1" w:styleId="14">
    <w:name w:val="red"/>
    <w:basedOn w:val="7"/>
    <w:qFormat/>
    <w:uiPriority w:val="0"/>
    <w:rPr>
      <w:color w:val="E1211F"/>
    </w:rPr>
  </w:style>
  <w:style w:type="character" w:customStyle="1" w:styleId="15">
    <w:name w:val="red1"/>
    <w:basedOn w:val="7"/>
    <w:qFormat/>
    <w:uiPriority w:val="0"/>
    <w:rPr>
      <w:color w:val="E1211F"/>
    </w:rPr>
  </w:style>
  <w:style w:type="character" w:customStyle="1" w:styleId="16">
    <w:name w:val="red2"/>
    <w:basedOn w:val="7"/>
    <w:qFormat/>
    <w:uiPriority w:val="0"/>
    <w:rPr>
      <w:color w:val="E33938"/>
      <w:u w:val="single"/>
    </w:rPr>
  </w:style>
  <w:style w:type="character" w:customStyle="1" w:styleId="17">
    <w:name w:val="red3"/>
    <w:basedOn w:val="7"/>
    <w:qFormat/>
    <w:uiPriority w:val="0"/>
    <w:rPr>
      <w:color w:val="E1211F"/>
      <w:u w:val="single"/>
    </w:rPr>
  </w:style>
  <w:style w:type="character" w:customStyle="1" w:styleId="18">
    <w:name w:val="red4"/>
    <w:basedOn w:val="7"/>
    <w:qFormat/>
    <w:uiPriority w:val="0"/>
    <w:rPr>
      <w:color w:val="AAAAAA"/>
      <w:sz w:val="14"/>
      <w:szCs w:val="14"/>
    </w:rPr>
  </w:style>
  <w:style w:type="character" w:customStyle="1" w:styleId="19">
    <w:name w:val="red5"/>
    <w:basedOn w:val="7"/>
    <w:qFormat/>
    <w:uiPriority w:val="0"/>
    <w:rPr>
      <w:color w:val="E1211F"/>
    </w:rPr>
  </w:style>
  <w:style w:type="character" w:customStyle="1" w:styleId="20">
    <w:name w:val="con4"/>
    <w:basedOn w:val="7"/>
    <w:qFormat/>
    <w:uiPriority w:val="0"/>
  </w:style>
  <w:style w:type="character" w:customStyle="1" w:styleId="21">
    <w:name w:val="cur2"/>
    <w:basedOn w:val="7"/>
    <w:qFormat/>
    <w:uiPriority w:val="0"/>
    <w:rPr>
      <w:color w:val="3354A2"/>
    </w:rPr>
  </w:style>
  <w:style w:type="character" w:customStyle="1" w:styleId="22">
    <w:name w:val="tyhl"/>
    <w:basedOn w:val="7"/>
    <w:qFormat/>
    <w:uiPriority w:val="0"/>
    <w:rPr>
      <w:shd w:val="clear" w:color="auto" w:fill="FFFFFF"/>
    </w:rPr>
  </w:style>
  <w:style w:type="character" w:customStyle="1" w:styleId="23">
    <w:name w:val="name"/>
    <w:basedOn w:val="7"/>
    <w:qFormat/>
    <w:uiPriority w:val="0"/>
    <w:rPr>
      <w:color w:val="2760B7"/>
    </w:rPr>
  </w:style>
  <w:style w:type="character" w:customStyle="1" w:styleId="24">
    <w:name w:val="yjl"/>
    <w:basedOn w:val="7"/>
    <w:qFormat/>
    <w:uiPriority w:val="0"/>
    <w:rPr>
      <w:color w:val="999999"/>
    </w:rPr>
  </w:style>
  <w:style w:type="character" w:customStyle="1" w:styleId="25">
    <w:name w:val="w100"/>
    <w:basedOn w:val="7"/>
    <w:qFormat/>
    <w:uiPriority w:val="0"/>
  </w:style>
  <w:style w:type="character" w:customStyle="1" w:styleId="26">
    <w:name w:val="yjr"/>
    <w:basedOn w:val="7"/>
    <w:qFormat/>
    <w:uiPriority w:val="0"/>
  </w:style>
  <w:style w:type="character" w:customStyle="1" w:styleId="27">
    <w:name w:val="yj-blue"/>
    <w:basedOn w:val="7"/>
    <w:qFormat/>
    <w:uiPriority w:val="0"/>
    <w:rPr>
      <w:b/>
      <w:bCs/>
      <w:color w:val="FFFFFF"/>
      <w:sz w:val="16"/>
      <w:szCs w:val="16"/>
      <w:shd w:val="clear" w:color="auto" w:fill="1E84CB"/>
    </w:rPr>
  </w:style>
  <w:style w:type="character" w:customStyle="1" w:styleId="28">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门户网站主动公开政府信息</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'[新建 XLSX 工作表.xlsx]Sheet1'!$D$8:$D$15</c:f>
              <c:strCache>
                <c:ptCount val="8"/>
                <c:pt idx="0">
                  <c:v>财政类信息</c:v>
                </c:pt>
                <c:pt idx="1">
                  <c:v>政策法规类信息</c:v>
                </c:pt>
                <c:pt idx="2">
                  <c:v>划计划类信息</c:v>
                </c:pt>
                <c:pt idx="3">
                  <c:v>重点领域信息</c:v>
                </c:pt>
                <c:pt idx="4">
                  <c:v>社会监督类信息</c:v>
                </c:pt>
                <c:pt idx="5">
                  <c:v>会议公开类信息</c:v>
                </c:pt>
                <c:pt idx="6">
                  <c:v>公共企事业单位信息</c:v>
                </c:pt>
                <c:pt idx="7">
                  <c:v>其他类</c:v>
                </c:pt>
              </c:strCache>
            </c:strRef>
          </c:cat>
          <c:val>
            <c:numRef>
              <c:f>'[新建 XLSX 工作表.xlsx]Sheet1'!$E$8:$E$15</c:f>
              <c:numCache>
                <c:formatCode>General</c:formatCode>
                <c:ptCount val="8"/>
                <c:pt idx="0">
                  <c:v>392</c:v>
                </c:pt>
                <c:pt idx="1">
                  <c:v>420</c:v>
                </c:pt>
                <c:pt idx="2">
                  <c:v>199</c:v>
                </c:pt>
                <c:pt idx="3">
                  <c:v>13150</c:v>
                </c:pt>
                <c:pt idx="4">
                  <c:v>1320</c:v>
                </c:pt>
                <c:pt idx="5">
                  <c:v>450</c:v>
                </c:pt>
                <c:pt idx="6">
                  <c:v>3560</c:v>
                </c:pt>
                <c:pt idx="7">
                  <c:v>1509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4010</Words>
  <Characters>4255</Characters>
  <Lines>33</Lines>
  <Paragraphs>9</Paragraphs>
  <TotalTime>28</TotalTime>
  <ScaleCrop>false</ScaleCrop>
  <LinksUpToDate>false</LinksUpToDate>
  <CharactersWithSpaces>4256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2021-03-16T11:43:00Z</dcterms:created>
  <dc:creator>Lenovo</dc:creator>
  <cp:lastModifiedBy>Administrator</cp:lastModifiedBy>
  <dcterms:modified xsi:type="dcterms:W3CDTF">2023-08-19T11:08:24Z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21721DE4A4C141708DE0ED817BCC4A38_13</vt:lpwstr>
  </property>
</Properties>
</file>