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0CBF33">
      <w:pPr>
        <w:widowControl/>
        <w:spacing w:after="312" w:afterLines="100" w:line="560" w:lineRule="exact"/>
        <w:rPr>
          <w:rFonts w:ascii="黑体" w:hAnsi="黑体" w:eastAsia="黑体" w:cs="Times New Roman"/>
          <w:sz w:val="32"/>
          <w:szCs w:val="32"/>
        </w:rPr>
      </w:pPr>
      <w:r>
        <w:rPr>
          <w:rFonts w:hint="eastAsia" w:ascii="黑体" w:hAnsi="黑体" w:eastAsia="黑体" w:cs="Times New Roman"/>
          <w:sz w:val="32"/>
          <w:szCs w:val="32"/>
        </w:rPr>
        <w:t>附件</w:t>
      </w:r>
    </w:p>
    <w:p w14:paraId="1A4FE463">
      <w:pPr>
        <w:widowControl/>
        <w:spacing w:after="312" w:afterLines="100" w:line="560" w:lineRule="exact"/>
        <w:jc w:val="center"/>
        <w:rPr>
          <w:rFonts w:ascii="方正小标宋简体" w:hAnsi="方正小标宋简体" w:eastAsia="方正小标宋简体" w:cs="方正小标宋简体"/>
          <w:sz w:val="32"/>
          <w:szCs w:val="32"/>
        </w:rPr>
      </w:pPr>
      <w:bookmarkStart w:id="0" w:name="_GoBack"/>
      <w:r>
        <w:rPr>
          <w:rFonts w:hint="eastAsia" w:ascii="方正小标宋简体" w:hAnsi="方正小标宋简体" w:eastAsia="方正小标宋简体" w:cs="方正小标宋简体"/>
          <w:snapToGrid w:val="0"/>
          <w:color w:val="000000"/>
          <w:kern w:val="0"/>
          <w:sz w:val="39"/>
          <w:szCs w:val="39"/>
          <w:lang w:bidi="ar"/>
        </w:rPr>
        <w:t>职责分工表</w:t>
      </w:r>
    </w:p>
    <w:bookmarkEnd w:id="0"/>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84"/>
        <w:gridCol w:w="6638"/>
      </w:tblGrid>
      <w:tr w14:paraId="5DFF7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4" w:type="dxa"/>
            <w:vAlign w:val="center"/>
          </w:tcPr>
          <w:p w14:paraId="3EB2E441">
            <w:pPr>
              <w:widowControl/>
              <w:topLinePunct/>
              <w:autoSpaceDE w:val="0"/>
              <w:autoSpaceDN w:val="0"/>
              <w:adjustRightInd w:val="0"/>
              <w:snapToGrid w:val="0"/>
              <w:spacing w:line="380" w:lineRule="exact"/>
              <w:jc w:val="center"/>
              <w:textAlignment w:val="baseline"/>
              <w:rPr>
                <w:rFonts w:ascii="黑体" w:hAnsi="黑体" w:eastAsia="黑体" w:cs="黑体"/>
                <w:sz w:val="30"/>
                <w:szCs w:val="30"/>
                <w:lang w:bidi="mn-Mong-CN"/>
              </w:rPr>
            </w:pPr>
            <w:r>
              <w:rPr>
                <w:rFonts w:hint="eastAsia" w:ascii="黑体" w:hAnsi="黑体" w:eastAsia="黑体" w:cs="黑体"/>
                <w:sz w:val="30"/>
                <w:szCs w:val="30"/>
                <w:lang w:bidi="mn-Mong-CN"/>
              </w:rPr>
              <w:t>单位</w:t>
            </w:r>
          </w:p>
        </w:tc>
        <w:tc>
          <w:tcPr>
            <w:tcW w:w="6638" w:type="dxa"/>
            <w:vAlign w:val="center"/>
          </w:tcPr>
          <w:p w14:paraId="2FA6AE6C">
            <w:pPr>
              <w:widowControl/>
              <w:topLinePunct/>
              <w:autoSpaceDE w:val="0"/>
              <w:autoSpaceDN w:val="0"/>
              <w:adjustRightInd w:val="0"/>
              <w:snapToGrid w:val="0"/>
              <w:spacing w:line="380" w:lineRule="exact"/>
              <w:jc w:val="center"/>
              <w:textAlignment w:val="baseline"/>
              <w:rPr>
                <w:rFonts w:ascii="黑体" w:hAnsi="黑体" w:eastAsia="黑体" w:cs="黑体"/>
                <w:sz w:val="30"/>
                <w:szCs w:val="30"/>
                <w:lang w:bidi="mn-Mong-CN"/>
              </w:rPr>
            </w:pPr>
            <w:r>
              <w:rPr>
                <w:rFonts w:hint="eastAsia" w:ascii="黑体" w:hAnsi="黑体" w:eastAsia="黑体" w:cs="黑体"/>
                <w:sz w:val="30"/>
                <w:szCs w:val="30"/>
                <w:lang w:bidi="mn-Mong-CN"/>
              </w:rPr>
              <w:t>主要职责</w:t>
            </w:r>
          </w:p>
        </w:tc>
      </w:tr>
      <w:tr w14:paraId="4BAAD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4" w:type="dxa"/>
            <w:vAlign w:val="center"/>
          </w:tcPr>
          <w:p w14:paraId="66CCEF92">
            <w:pPr>
              <w:widowControl/>
              <w:topLinePunct/>
              <w:autoSpaceDE w:val="0"/>
              <w:autoSpaceDN w:val="0"/>
              <w:adjustRightInd w:val="0"/>
              <w:snapToGrid w:val="0"/>
              <w:spacing w:line="400" w:lineRule="exact"/>
              <w:jc w:val="center"/>
              <w:textAlignment w:val="baseline"/>
              <w:rPr>
                <w:rFonts w:ascii="仿宋_GB2312" w:hAnsi="黑体" w:eastAsia="仿宋_GB2312" w:cs="黑体"/>
                <w:sz w:val="24"/>
                <w:szCs w:val="24"/>
                <w:lang w:bidi="mn-Mong-CN"/>
              </w:rPr>
            </w:pPr>
            <w:r>
              <w:rPr>
                <w:rFonts w:hint="eastAsia" w:ascii="仿宋_GB2312" w:hAnsi="黑体" w:eastAsia="仿宋_GB2312" w:cs="黑体"/>
                <w:sz w:val="24"/>
                <w:szCs w:val="24"/>
                <w:lang w:bidi="mn-Mong-CN"/>
              </w:rPr>
              <w:t>区委宣传部</w:t>
            </w:r>
          </w:p>
        </w:tc>
        <w:tc>
          <w:tcPr>
            <w:tcW w:w="6638" w:type="dxa"/>
            <w:vAlign w:val="center"/>
          </w:tcPr>
          <w:p w14:paraId="2C45A3D1">
            <w:pPr>
              <w:widowControl/>
              <w:topLinePunct/>
              <w:autoSpaceDE w:val="0"/>
              <w:autoSpaceDN w:val="0"/>
              <w:adjustRightInd w:val="0"/>
              <w:snapToGrid w:val="0"/>
              <w:spacing w:line="400" w:lineRule="exact"/>
              <w:jc w:val="left"/>
              <w:textAlignment w:val="baseline"/>
              <w:rPr>
                <w:rFonts w:ascii="仿宋_GB2312" w:hAnsi="Times New Roman" w:eastAsia="仿宋_GB2312" w:cs="Times New Roman"/>
                <w:sz w:val="24"/>
                <w:szCs w:val="24"/>
                <w:lang w:bidi="mn-Mong-CN"/>
              </w:rPr>
            </w:pPr>
            <w:r>
              <w:rPr>
                <w:rFonts w:hint="eastAsia" w:ascii="仿宋_GB2312" w:hAnsi="Times New Roman" w:eastAsia="仿宋_GB2312" w:cs="Times New Roman"/>
                <w:sz w:val="24"/>
                <w:szCs w:val="24"/>
                <w:lang w:bidi="mn-Mong-CN"/>
              </w:rPr>
              <w:t>牵头做好新闻宣传和舆情处置工作，会同区生态环境保护工作委员会办公室适时开展正面舆论引导；完成区生态环境保护工作委员会办公室交办的其他事项。</w:t>
            </w:r>
          </w:p>
        </w:tc>
      </w:tr>
      <w:tr w14:paraId="78DCF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4" w:type="dxa"/>
            <w:vAlign w:val="center"/>
          </w:tcPr>
          <w:p w14:paraId="628A5A70">
            <w:pPr>
              <w:widowControl/>
              <w:topLinePunct/>
              <w:autoSpaceDE w:val="0"/>
              <w:autoSpaceDN w:val="0"/>
              <w:adjustRightInd w:val="0"/>
              <w:snapToGrid w:val="0"/>
              <w:spacing w:line="400" w:lineRule="exact"/>
              <w:jc w:val="center"/>
              <w:textAlignment w:val="baseline"/>
              <w:rPr>
                <w:rFonts w:ascii="仿宋_GB2312" w:hAnsi="黑体" w:eastAsia="仿宋_GB2312" w:cs="黑体"/>
                <w:sz w:val="24"/>
                <w:szCs w:val="24"/>
                <w:lang w:bidi="mn-Mong-CN"/>
              </w:rPr>
            </w:pPr>
            <w:r>
              <w:rPr>
                <w:rFonts w:hint="eastAsia" w:ascii="仿宋_GB2312" w:hAnsi="黑体" w:eastAsia="仿宋_GB2312" w:cs="黑体"/>
                <w:sz w:val="24"/>
                <w:szCs w:val="24"/>
                <w:lang w:bidi="mn-Mong-CN"/>
              </w:rPr>
              <w:t>区工业和</w:t>
            </w:r>
          </w:p>
          <w:p w14:paraId="551FD544">
            <w:pPr>
              <w:widowControl/>
              <w:topLinePunct/>
              <w:autoSpaceDE w:val="0"/>
              <w:autoSpaceDN w:val="0"/>
              <w:adjustRightInd w:val="0"/>
              <w:snapToGrid w:val="0"/>
              <w:spacing w:line="400" w:lineRule="exact"/>
              <w:jc w:val="center"/>
              <w:textAlignment w:val="baseline"/>
              <w:rPr>
                <w:rFonts w:ascii="仿宋_GB2312" w:hAnsi="黑体" w:eastAsia="仿宋_GB2312" w:cs="黑体"/>
                <w:snapToGrid w:val="0"/>
                <w:kern w:val="0"/>
                <w:sz w:val="24"/>
                <w:szCs w:val="24"/>
                <w:lang w:bidi="ar-SA"/>
              </w:rPr>
            </w:pPr>
            <w:r>
              <w:rPr>
                <w:rFonts w:hint="eastAsia" w:ascii="仿宋_GB2312" w:hAnsi="黑体" w:eastAsia="仿宋_GB2312" w:cs="黑体"/>
                <w:sz w:val="24"/>
                <w:szCs w:val="24"/>
                <w:lang w:bidi="mn-Mong-CN"/>
              </w:rPr>
              <w:t>信息化局</w:t>
            </w:r>
          </w:p>
        </w:tc>
        <w:tc>
          <w:tcPr>
            <w:tcW w:w="6638" w:type="dxa"/>
            <w:vAlign w:val="center"/>
          </w:tcPr>
          <w:p w14:paraId="442AD37A">
            <w:pPr>
              <w:widowControl/>
              <w:topLinePunct/>
              <w:autoSpaceDE w:val="0"/>
              <w:autoSpaceDN w:val="0"/>
              <w:adjustRightInd w:val="0"/>
              <w:snapToGrid w:val="0"/>
              <w:spacing w:line="400" w:lineRule="exact"/>
              <w:jc w:val="left"/>
              <w:textAlignment w:val="baseline"/>
              <w:rPr>
                <w:rFonts w:ascii="仿宋_GB2312" w:hAnsi="Times New Roman" w:eastAsia="仿宋_GB2312" w:cs="Times New Roman"/>
                <w:snapToGrid w:val="0"/>
                <w:color w:val="000000"/>
                <w:kern w:val="0"/>
                <w:sz w:val="24"/>
                <w:szCs w:val="24"/>
                <w:lang w:bidi="ar-SA"/>
              </w:rPr>
            </w:pPr>
            <w:r>
              <w:rPr>
                <w:rFonts w:hint="eastAsia" w:ascii="仿宋_GB2312" w:hAnsi="Times New Roman" w:eastAsia="仿宋_GB2312" w:cs="Times New Roman"/>
                <w:sz w:val="24"/>
                <w:szCs w:val="24"/>
                <w:lang w:bidi="mn-Mong-CN"/>
              </w:rPr>
              <w:t>根据应急指令，配合生态环境部门督促应采取停产、限产等措施的工业企业采取相应措施：编制本部门应急响应专项实施方案并对落实情况开展督查；完成区生态环境保护工作委员会办公室交办的其他事项。</w:t>
            </w:r>
          </w:p>
        </w:tc>
      </w:tr>
      <w:tr w14:paraId="2C131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4" w:type="dxa"/>
            <w:vAlign w:val="center"/>
          </w:tcPr>
          <w:p w14:paraId="6AA165C7">
            <w:pPr>
              <w:widowControl/>
              <w:topLinePunct/>
              <w:autoSpaceDE w:val="0"/>
              <w:autoSpaceDN w:val="0"/>
              <w:adjustRightInd w:val="0"/>
              <w:snapToGrid w:val="0"/>
              <w:spacing w:line="400" w:lineRule="exact"/>
              <w:jc w:val="center"/>
              <w:textAlignment w:val="baseline"/>
              <w:rPr>
                <w:rFonts w:ascii="仿宋_GB2312" w:hAnsi="黑体" w:eastAsia="仿宋_GB2312" w:cs="黑体"/>
                <w:snapToGrid w:val="0"/>
                <w:kern w:val="0"/>
                <w:sz w:val="24"/>
                <w:szCs w:val="24"/>
                <w:lang w:bidi="ar-SA"/>
              </w:rPr>
            </w:pPr>
            <w:r>
              <w:rPr>
                <w:rFonts w:hint="eastAsia" w:ascii="仿宋_GB2312" w:hAnsi="黑体" w:eastAsia="仿宋_GB2312" w:cs="黑体"/>
                <w:sz w:val="24"/>
                <w:szCs w:val="24"/>
                <w:lang w:bidi="mn-Mong-CN"/>
              </w:rPr>
              <w:t>区住房和城市建设局</w:t>
            </w:r>
          </w:p>
        </w:tc>
        <w:tc>
          <w:tcPr>
            <w:tcW w:w="6638" w:type="dxa"/>
            <w:vAlign w:val="center"/>
          </w:tcPr>
          <w:p w14:paraId="6DE3A186">
            <w:pPr>
              <w:widowControl/>
              <w:topLinePunct/>
              <w:autoSpaceDE w:val="0"/>
              <w:autoSpaceDN w:val="0"/>
              <w:adjustRightInd w:val="0"/>
              <w:snapToGrid w:val="0"/>
              <w:spacing w:line="400" w:lineRule="exact"/>
              <w:jc w:val="left"/>
              <w:textAlignment w:val="baseline"/>
              <w:rPr>
                <w:rFonts w:ascii="仿宋_GB2312" w:hAnsi="Times New Roman" w:eastAsia="仿宋_GB2312" w:cs="Times New Roman"/>
                <w:snapToGrid w:val="0"/>
                <w:color w:val="000000"/>
                <w:kern w:val="0"/>
                <w:sz w:val="24"/>
                <w:szCs w:val="24"/>
                <w:lang w:bidi="ar-SA"/>
              </w:rPr>
            </w:pPr>
            <w:r>
              <w:rPr>
                <w:rFonts w:hint="eastAsia" w:ascii="仿宋_GB2312" w:hAnsi="Times New Roman" w:eastAsia="仿宋_GB2312" w:cs="Times New Roman"/>
                <w:sz w:val="24"/>
                <w:szCs w:val="24"/>
                <w:lang w:bidi="mn-Mong-CN"/>
              </w:rPr>
              <w:t>监督施工单位、国有土地上房屋征收工地加强扬尘污染防治工作；根据应急指令，组织和督导建筑施工工地、房屋征收施工工地落实不同预警等级的应急措施；编制本部门应急响应专项实施方案并对落实情况开展督查；完成区生态环境保护工作委员会办公室交办的其他事项。</w:t>
            </w:r>
          </w:p>
        </w:tc>
      </w:tr>
      <w:tr w14:paraId="6E2D1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4" w:type="dxa"/>
            <w:vAlign w:val="center"/>
          </w:tcPr>
          <w:p w14:paraId="76A282C2">
            <w:pPr>
              <w:widowControl/>
              <w:topLinePunct/>
              <w:autoSpaceDE w:val="0"/>
              <w:autoSpaceDN w:val="0"/>
              <w:adjustRightInd w:val="0"/>
              <w:snapToGrid w:val="0"/>
              <w:spacing w:line="400" w:lineRule="exact"/>
              <w:jc w:val="center"/>
              <w:textAlignment w:val="baseline"/>
              <w:rPr>
                <w:rFonts w:ascii="仿宋_GB2312" w:hAnsi="黑体" w:eastAsia="仿宋_GB2312" w:cs="黑体"/>
                <w:sz w:val="24"/>
                <w:szCs w:val="24"/>
                <w:lang w:bidi="mn-Mong-CN"/>
              </w:rPr>
            </w:pPr>
            <w:r>
              <w:rPr>
                <w:rFonts w:hint="eastAsia" w:ascii="仿宋_GB2312" w:hAnsi="黑体" w:eastAsia="仿宋_GB2312" w:cs="黑体"/>
                <w:sz w:val="24"/>
                <w:szCs w:val="24"/>
                <w:lang w:bidi="mn-Mong-CN"/>
              </w:rPr>
              <w:t>区城市管理局（综合行政</w:t>
            </w:r>
          </w:p>
          <w:p w14:paraId="1CCBA4D4">
            <w:pPr>
              <w:widowControl/>
              <w:topLinePunct/>
              <w:autoSpaceDE w:val="0"/>
              <w:autoSpaceDN w:val="0"/>
              <w:adjustRightInd w:val="0"/>
              <w:snapToGrid w:val="0"/>
              <w:spacing w:line="400" w:lineRule="exact"/>
              <w:jc w:val="center"/>
              <w:textAlignment w:val="baseline"/>
              <w:rPr>
                <w:rFonts w:ascii="仿宋_GB2312" w:hAnsi="黑体" w:eastAsia="仿宋_GB2312" w:cs="黑体"/>
                <w:snapToGrid w:val="0"/>
                <w:kern w:val="0"/>
                <w:sz w:val="24"/>
                <w:szCs w:val="24"/>
                <w:lang w:bidi="ar-SA"/>
              </w:rPr>
            </w:pPr>
            <w:r>
              <w:rPr>
                <w:rFonts w:hint="eastAsia" w:ascii="仿宋_GB2312" w:hAnsi="黑体" w:eastAsia="仿宋_GB2312" w:cs="黑体"/>
                <w:sz w:val="24"/>
                <w:szCs w:val="24"/>
                <w:lang w:bidi="mn-Mong-CN"/>
              </w:rPr>
              <w:t>执法局）</w:t>
            </w:r>
          </w:p>
        </w:tc>
        <w:tc>
          <w:tcPr>
            <w:tcW w:w="6638" w:type="dxa"/>
            <w:vAlign w:val="center"/>
          </w:tcPr>
          <w:p w14:paraId="5ECD66FC">
            <w:pPr>
              <w:widowControl/>
              <w:topLinePunct/>
              <w:autoSpaceDE w:val="0"/>
              <w:autoSpaceDN w:val="0"/>
              <w:adjustRightInd w:val="0"/>
              <w:snapToGrid w:val="0"/>
              <w:spacing w:line="400" w:lineRule="exact"/>
              <w:jc w:val="left"/>
              <w:textAlignment w:val="baseline"/>
              <w:rPr>
                <w:rFonts w:ascii="仿宋_GB2312" w:hAnsi="Times New Roman" w:eastAsia="仿宋_GB2312" w:cs="Times New Roman"/>
                <w:snapToGrid w:val="0"/>
                <w:color w:val="000000"/>
                <w:kern w:val="0"/>
                <w:sz w:val="24"/>
                <w:szCs w:val="24"/>
                <w:lang w:bidi="ar-SA"/>
              </w:rPr>
            </w:pPr>
            <w:r>
              <w:rPr>
                <w:rFonts w:hint="eastAsia" w:ascii="仿宋_GB2312" w:hAnsi="Times New Roman" w:eastAsia="仿宋_GB2312" w:cs="Times New Roman"/>
                <w:sz w:val="24"/>
                <w:szCs w:val="24"/>
                <w:lang w:bidi="mn-Mong-CN"/>
              </w:rPr>
              <w:t>根据应急指令，在不同预警等级下，非冰冻期适当增加道路清扫洒水频次；监督渣土运输单位落实应急响应措施；对违反扬尘污染防治规定的施工单位给予行政处罚；编制本部门应急响应专项实施方案并对落实情况开展督查；完成区生态环境保护工作委员会办公室交办的其他事项。</w:t>
            </w:r>
          </w:p>
        </w:tc>
      </w:tr>
      <w:tr w14:paraId="55948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4" w:type="dxa"/>
            <w:vAlign w:val="center"/>
          </w:tcPr>
          <w:p w14:paraId="17C7CC89">
            <w:pPr>
              <w:widowControl/>
              <w:topLinePunct/>
              <w:autoSpaceDE w:val="0"/>
              <w:autoSpaceDN w:val="0"/>
              <w:adjustRightInd w:val="0"/>
              <w:snapToGrid w:val="0"/>
              <w:spacing w:line="400" w:lineRule="exact"/>
              <w:jc w:val="center"/>
              <w:textAlignment w:val="baseline"/>
              <w:rPr>
                <w:rFonts w:ascii="仿宋_GB2312" w:hAnsi="黑体" w:eastAsia="仿宋_GB2312" w:cs="黑体"/>
                <w:snapToGrid w:val="0"/>
                <w:kern w:val="0"/>
                <w:sz w:val="24"/>
                <w:szCs w:val="24"/>
                <w:lang w:bidi="ar-SA"/>
              </w:rPr>
            </w:pPr>
            <w:r>
              <w:rPr>
                <w:rFonts w:hint="eastAsia" w:ascii="仿宋_GB2312" w:hAnsi="黑体" w:eastAsia="仿宋_GB2312" w:cs="黑体"/>
                <w:sz w:val="24"/>
                <w:szCs w:val="24"/>
                <w:lang w:bidi="mn-Mong-CN"/>
              </w:rPr>
              <w:t>区自然资源局</w:t>
            </w:r>
          </w:p>
        </w:tc>
        <w:tc>
          <w:tcPr>
            <w:tcW w:w="6638" w:type="dxa"/>
            <w:vAlign w:val="center"/>
          </w:tcPr>
          <w:p w14:paraId="796198C5">
            <w:pPr>
              <w:widowControl/>
              <w:topLinePunct/>
              <w:autoSpaceDE w:val="0"/>
              <w:autoSpaceDN w:val="0"/>
              <w:adjustRightInd w:val="0"/>
              <w:snapToGrid w:val="0"/>
              <w:spacing w:line="400" w:lineRule="exact"/>
              <w:jc w:val="left"/>
              <w:textAlignment w:val="baseline"/>
              <w:rPr>
                <w:rFonts w:ascii="仿宋_GB2312" w:hAnsi="Times New Roman" w:eastAsia="仿宋_GB2312" w:cs="Times New Roman"/>
                <w:snapToGrid w:val="0"/>
                <w:color w:val="000000"/>
                <w:kern w:val="0"/>
                <w:sz w:val="24"/>
                <w:szCs w:val="24"/>
                <w:lang w:bidi="ar-SA"/>
              </w:rPr>
            </w:pPr>
            <w:r>
              <w:rPr>
                <w:rFonts w:hint="eastAsia" w:ascii="仿宋_GB2312" w:hAnsi="Times New Roman" w:eastAsia="仿宋_GB2312" w:cs="Times New Roman"/>
                <w:sz w:val="24"/>
                <w:szCs w:val="24"/>
                <w:lang w:bidi="mn-Mong-CN"/>
              </w:rPr>
              <w:t>监督由区土地储备中心管理的土地落实扬尘污染防治措施；编制本部门应急响应专项实施方案并对落实情况开展督查；完成区生态环境保护工作委员会办公室交办的其他事项。</w:t>
            </w:r>
          </w:p>
        </w:tc>
      </w:tr>
      <w:tr w14:paraId="2E977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4" w:type="dxa"/>
            <w:vAlign w:val="center"/>
          </w:tcPr>
          <w:p w14:paraId="62435DBF">
            <w:pPr>
              <w:widowControl/>
              <w:topLinePunct/>
              <w:autoSpaceDE w:val="0"/>
              <w:autoSpaceDN w:val="0"/>
              <w:adjustRightInd w:val="0"/>
              <w:snapToGrid w:val="0"/>
              <w:spacing w:line="400" w:lineRule="exact"/>
              <w:jc w:val="center"/>
              <w:textAlignment w:val="baseline"/>
              <w:rPr>
                <w:rFonts w:ascii="仿宋_GB2312" w:hAnsi="黑体" w:eastAsia="仿宋_GB2312" w:cs="黑体"/>
                <w:spacing w:val="-6"/>
                <w:sz w:val="24"/>
                <w:szCs w:val="24"/>
                <w:lang w:bidi="mn-Mong-CN"/>
              </w:rPr>
            </w:pPr>
            <w:r>
              <w:rPr>
                <w:rFonts w:hint="eastAsia" w:ascii="仿宋_GB2312" w:hAnsi="黑体" w:eastAsia="仿宋_GB2312" w:cs="黑体"/>
                <w:spacing w:val="-6"/>
                <w:sz w:val="24"/>
                <w:szCs w:val="24"/>
                <w:lang w:bidi="mn-Mong-CN"/>
              </w:rPr>
              <w:t>市生态环境局</w:t>
            </w:r>
          </w:p>
          <w:p w14:paraId="58218C54">
            <w:pPr>
              <w:widowControl/>
              <w:topLinePunct/>
              <w:autoSpaceDE w:val="0"/>
              <w:autoSpaceDN w:val="0"/>
              <w:adjustRightInd w:val="0"/>
              <w:snapToGrid w:val="0"/>
              <w:spacing w:line="400" w:lineRule="exact"/>
              <w:jc w:val="center"/>
              <w:textAlignment w:val="baseline"/>
              <w:rPr>
                <w:rFonts w:ascii="仿宋_GB2312" w:hAnsi="黑体" w:eastAsia="仿宋_GB2312" w:cs="黑体"/>
                <w:snapToGrid w:val="0"/>
                <w:spacing w:val="-6"/>
                <w:kern w:val="0"/>
                <w:sz w:val="24"/>
                <w:szCs w:val="24"/>
                <w:lang w:bidi="ar-SA"/>
              </w:rPr>
            </w:pPr>
            <w:r>
              <w:rPr>
                <w:rFonts w:hint="eastAsia" w:ascii="仿宋_GB2312" w:hAnsi="黑体" w:eastAsia="仿宋_GB2312" w:cs="黑体"/>
                <w:spacing w:val="-6"/>
                <w:sz w:val="24"/>
                <w:szCs w:val="24"/>
                <w:lang w:bidi="mn-Mong-CN"/>
              </w:rPr>
              <w:t>历下分局</w:t>
            </w:r>
          </w:p>
        </w:tc>
        <w:tc>
          <w:tcPr>
            <w:tcW w:w="6638" w:type="dxa"/>
            <w:vAlign w:val="center"/>
          </w:tcPr>
          <w:p w14:paraId="67C7B84C">
            <w:pPr>
              <w:widowControl/>
              <w:topLinePunct/>
              <w:autoSpaceDE w:val="0"/>
              <w:autoSpaceDN w:val="0"/>
              <w:adjustRightInd w:val="0"/>
              <w:snapToGrid w:val="0"/>
              <w:spacing w:line="400" w:lineRule="exact"/>
              <w:jc w:val="left"/>
              <w:textAlignment w:val="baseline"/>
              <w:rPr>
                <w:rFonts w:ascii="仿宋_GB2312" w:hAnsi="Times New Roman" w:eastAsia="仿宋_GB2312" w:cs="Times New Roman"/>
                <w:snapToGrid w:val="0"/>
                <w:color w:val="000000"/>
                <w:kern w:val="0"/>
                <w:sz w:val="24"/>
                <w:szCs w:val="24"/>
                <w:lang w:bidi="ar-SA"/>
              </w:rPr>
            </w:pPr>
            <w:r>
              <w:rPr>
                <w:rFonts w:hint="eastAsia" w:ascii="仿宋_GB2312" w:hAnsi="Times New Roman" w:eastAsia="仿宋_GB2312" w:cs="Times New Roman"/>
                <w:sz w:val="24"/>
                <w:szCs w:val="24"/>
                <w:lang w:bidi="mn-Mong-CN"/>
              </w:rPr>
              <w:t>实施空气质量监测；建立大气污染源清单，组织审核工业企业绩效分级情况和重点行业企业重污染天气应急响应减排方案，检查相关企业污染治理设施运行情况；会同区工业和信息化局监督限产、停产企业落实相应措施；编制本部门应急响应专项实施方案并对落实情况开展督查；完成区生态环境保护工作委员会办公室交办的其他事项。</w:t>
            </w:r>
          </w:p>
        </w:tc>
      </w:tr>
      <w:tr w14:paraId="1ADEE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4" w:type="dxa"/>
            <w:vAlign w:val="center"/>
          </w:tcPr>
          <w:p w14:paraId="6AC31007">
            <w:pPr>
              <w:widowControl/>
              <w:topLinePunct/>
              <w:autoSpaceDE w:val="0"/>
              <w:autoSpaceDN w:val="0"/>
              <w:adjustRightInd w:val="0"/>
              <w:snapToGrid w:val="0"/>
              <w:spacing w:line="400" w:lineRule="exact"/>
              <w:jc w:val="center"/>
              <w:textAlignment w:val="baseline"/>
              <w:rPr>
                <w:rFonts w:ascii="仿宋_GB2312" w:hAnsi="黑体" w:eastAsia="仿宋_GB2312" w:cs="黑体"/>
                <w:snapToGrid w:val="0"/>
                <w:kern w:val="0"/>
                <w:sz w:val="24"/>
                <w:szCs w:val="24"/>
                <w:lang w:bidi="ar-SA"/>
              </w:rPr>
            </w:pPr>
            <w:r>
              <w:rPr>
                <w:rFonts w:hint="eastAsia" w:ascii="仿宋_GB2312" w:hAnsi="黑体" w:eastAsia="仿宋_GB2312" w:cs="黑体"/>
                <w:sz w:val="24"/>
                <w:szCs w:val="24"/>
                <w:lang w:bidi="mn-Mong-CN"/>
              </w:rPr>
              <w:t>区水务局</w:t>
            </w:r>
          </w:p>
        </w:tc>
        <w:tc>
          <w:tcPr>
            <w:tcW w:w="6638" w:type="dxa"/>
            <w:vAlign w:val="center"/>
          </w:tcPr>
          <w:p w14:paraId="09CE03B0">
            <w:pPr>
              <w:widowControl/>
              <w:topLinePunct/>
              <w:autoSpaceDE w:val="0"/>
              <w:autoSpaceDN w:val="0"/>
              <w:adjustRightInd w:val="0"/>
              <w:snapToGrid w:val="0"/>
              <w:spacing w:line="400" w:lineRule="exact"/>
              <w:jc w:val="left"/>
              <w:textAlignment w:val="baseline"/>
              <w:rPr>
                <w:rFonts w:ascii="仿宋_GB2312" w:hAnsi="Times New Roman" w:eastAsia="仿宋_GB2312" w:cs="Times New Roman"/>
                <w:snapToGrid w:val="0"/>
                <w:color w:val="000000"/>
                <w:kern w:val="0"/>
                <w:sz w:val="24"/>
                <w:szCs w:val="24"/>
                <w:lang w:bidi="ar-SA"/>
              </w:rPr>
            </w:pPr>
            <w:r>
              <w:rPr>
                <w:rFonts w:hint="eastAsia" w:ascii="仿宋_GB2312" w:hAnsi="Times New Roman" w:eastAsia="仿宋_GB2312" w:cs="Times New Roman"/>
                <w:sz w:val="24"/>
                <w:szCs w:val="24"/>
                <w:lang w:bidi="mn-Mong-CN"/>
              </w:rPr>
              <w:t>监督水务工程落实扬尘污染防治措施；根据应急指令，组织和督导水务工程施工工地落实不同预警等级的应急措施；编制本部门应急响应专项实施方案并对落实情况开展督查；完成区生态环境保护工作委员会办公室交办的其他事项。</w:t>
            </w:r>
          </w:p>
        </w:tc>
      </w:tr>
      <w:tr w14:paraId="298CD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4" w:type="dxa"/>
            <w:vAlign w:val="center"/>
          </w:tcPr>
          <w:p w14:paraId="791EE418">
            <w:pPr>
              <w:widowControl/>
              <w:topLinePunct/>
              <w:autoSpaceDE w:val="0"/>
              <w:autoSpaceDN w:val="0"/>
              <w:adjustRightInd w:val="0"/>
              <w:snapToGrid w:val="0"/>
              <w:spacing w:line="400" w:lineRule="exact"/>
              <w:jc w:val="center"/>
              <w:textAlignment w:val="baseline"/>
              <w:rPr>
                <w:rFonts w:ascii="仿宋_GB2312" w:hAnsi="黑体" w:eastAsia="仿宋_GB2312" w:cs="黑体"/>
                <w:sz w:val="24"/>
                <w:szCs w:val="24"/>
                <w:lang w:bidi="mn-Mong-CN"/>
              </w:rPr>
            </w:pPr>
            <w:r>
              <w:rPr>
                <w:rFonts w:hint="eastAsia" w:ascii="仿宋_GB2312" w:hAnsi="黑体" w:eastAsia="仿宋_GB2312" w:cs="黑体"/>
                <w:sz w:val="24"/>
                <w:szCs w:val="24"/>
                <w:lang w:bidi="mn-Mong-CN"/>
              </w:rPr>
              <w:t>区市政工程</w:t>
            </w:r>
          </w:p>
          <w:p w14:paraId="66AD1760">
            <w:pPr>
              <w:widowControl/>
              <w:topLinePunct/>
              <w:autoSpaceDE w:val="0"/>
              <w:autoSpaceDN w:val="0"/>
              <w:adjustRightInd w:val="0"/>
              <w:snapToGrid w:val="0"/>
              <w:spacing w:line="400" w:lineRule="exact"/>
              <w:jc w:val="center"/>
              <w:textAlignment w:val="baseline"/>
              <w:rPr>
                <w:rFonts w:ascii="仿宋_GB2312" w:hAnsi="黑体" w:eastAsia="仿宋_GB2312" w:cs="黑体"/>
                <w:snapToGrid w:val="0"/>
                <w:kern w:val="0"/>
                <w:sz w:val="24"/>
                <w:szCs w:val="24"/>
                <w:highlight w:val="red"/>
                <w:lang w:bidi="ar-SA"/>
              </w:rPr>
            </w:pPr>
            <w:r>
              <w:rPr>
                <w:rFonts w:hint="eastAsia" w:ascii="仿宋_GB2312" w:hAnsi="黑体" w:eastAsia="仿宋_GB2312" w:cs="黑体"/>
                <w:sz w:val="24"/>
                <w:szCs w:val="24"/>
                <w:lang w:bidi="mn-Mong-CN"/>
              </w:rPr>
              <w:t>服务中心</w:t>
            </w:r>
          </w:p>
        </w:tc>
        <w:tc>
          <w:tcPr>
            <w:tcW w:w="6638" w:type="dxa"/>
            <w:vAlign w:val="center"/>
          </w:tcPr>
          <w:p w14:paraId="32F7F3BD">
            <w:pPr>
              <w:widowControl/>
              <w:topLinePunct/>
              <w:autoSpaceDE w:val="0"/>
              <w:autoSpaceDN w:val="0"/>
              <w:adjustRightInd w:val="0"/>
              <w:snapToGrid w:val="0"/>
              <w:spacing w:line="400" w:lineRule="exact"/>
              <w:jc w:val="left"/>
              <w:textAlignment w:val="baseline"/>
              <w:rPr>
                <w:rFonts w:ascii="仿宋_GB2312" w:hAnsi="Times New Roman" w:eastAsia="仿宋_GB2312" w:cs="Times New Roman"/>
                <w:snapToGrid w:val="0"/>
                <w:color w:val="000000"/>
                <w:kern w:val="0"/>
                <w:sz w:val="24"/>
                <w:szCs w:val="24"/>
                <w:highlight w:val="red"/>
                <w:lang w:bidi="ar-SA"/>
              </w:rPr>
            </w:pPr>
            <w:r>
              <w:rPr>
                <w:rFonts w:hint="eastAsia" w:ascii="仿宋_GB2312" w:hAnsi="Times New Roman" w:eastAsia="仿宋_GB2312" w:cs="Times New Roman"/>
                <w:sz w:val="24"/>
                <w:szCs w:val="24"/>
                <w:lang w:bidi="mn-Mong-CN"/>
              </w:rPr>
              <w:t>根据应急指令，组织和督导市政道路工程落实扬尘污染防治措施，并按照要求执行不同预警等级的应急措施；编制本部门应急响应专项实施方案并对落实情况开展督查；完成区生态环境保护工作委员会办公室交办的其他事项。</w:t>
            </w:r>
          </w:p>
        </w:tc>
      </w:tr>
      <w:tr w14:paraId="68945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4" w:type="dxa"/>
            <w:vAlign w:val="center"/>
          </w:tcPr>
          <w:p w14:paraId="30FA443D">
            <w:pPr>
              <w:widowControl/>
              <w:topLinePunct/>
              <w:autoSpaceDE w:val="0"/>
              <w:autoSpaceDN w:val="0"/>
              <w:adjustRightInd w:val="0"/>
              <w:snapToGrid w:val="0"/>
              <w:spacing w:line="400" w:lineRule="exact"/>
              <w:jc w:val="center"/>
              <w:textAlignment w:val="baseline"/>
              <w:rPr>
                <w:rFonts w:ascii="仿宋_GB2312" w:hAnsi="黑体" w:eastAsia="仿宋_GB2312" w:cs="黑体"/>
                <w:sz w:val="24"/>
                <w:szCs w:val="24"/>
                <w:lang w:bidi="mn-Mong-CN"/>
              </w:rPr>
            </w:pPr>
            <w:r>
              <w:rPr>
                <w:rFonts w:hint="eastAsia" w:ascii="仿宋_GB2312" w:hAnsi="黑体" w:eastAsia="仿宋_GB2312" w:cs="黑体"/>
                <w:sz w:val="24"/>
                <w:szCs w:val="24"/>
                <w:lang w:bidi="mn-Mong-CN"/>
              </w:rPr>
              <w:t>区园林绿化</w:t>
            </w:r>
          </w:p>
          <w:p w14:paraId="2A1277BC">
            <w:pPr>
              <w:widowControl/>
              <w:topLinePunct/>
              <w:autoSpaceDE w:val="0"/>
              <w:autoSpaceDN w:val="0"/>
              <w:adjustRightInd w:val="0"/>
              <w:snapToGrid w:val="0"/>
              <w:spacing w:line="400" w:lineRule="exact"/>
              <w:jc w:val="center"/>
              <w:textAlignment w:val="baseline"/>
              <w:rPr>
                <w:rFonts w:ascii="仿宋_GB2312" w:hAnsi="黑体" w:eastAsia="仿宋_GB2312" w:cs="黑体"/>
                <w:snapToGrid w:val="0"/>
                <w:kern w:val="0"/>
                <w:sz w:val="24"/>
                <w:szCs w:val="24"/>
                <w:lang w:bidi="ar-SA"/>
              </w:rPr>
            </w:pPr>
            <w:r>
              <w:rPr>
                <w:rFonts w:hint="eastAsia" w:ascii="仿宋_GB2312" w:hAnsi="黑体" w:eastAsia="仿宋_GB2312" w:cs="黑体"/>
                <w:sz w:val="24"/>
                <w:szCs w:val="24"/>
                <w:lang w:bidi="mn-Mong-CN"/>
              </w:rPr>
              <w:t>服务中心</w:t>
            </w:r>
          </w:p>
        </w:tc>
        <w:tc>
          <w:tcPr>
            <w:tcW w:w="6638" w:type="dxa"/>
            <w:vAlign w:val="center"/>
          </w:tcPr>
          <w:p w14:paraId="7E74AC8E">
            <w:pPr>
              <w:widowControl/>
              <w:topLinePunct/>
              <w:autoSpaceDE w:val="0"/>
              <w:autoSpaceDN w:val="0"/>
              <w:adjustRightInd w:val="0"/>
              <w:snapToGrid w:val="0"/>
              <w:spacing w:line="400" w:lineRule="exact"/>
              <w:jc w:val="left"/>
              <w:textAlignment w:val="baseline"/>
              <w:rPr>
                <w:rFonts w:ascii="仿宋_GB2312" w:hAnsi="Times New Roman" w:eastAsia="仿宋_GB2312" w:cs="Times New Roman"/>
                <w:snapToGrid w:val="0"/>
                <w:color w:val="000000"/>
                <w:kern w:val="0"/>
                <w:sz w:val="24"/>
                <w:szCs w:val="24"/>
                <w:lang w:bidi="ar-SA"/>
              </w:rPr>
            </w:pPr>
            <w:r>
              <w:rPr>
                <w:rFonts w:hint="eastAsia" w:ascii="仿宋_GB2312" w:hAnsi="Times New Roman" w:eastAsia="仿宋_GB2312" w:cs="Times New Roman"/>
                <w:sz w:val="24"/>
                <w:szCs w:val="24"/>
                <w:lang w:bidi="mn-Mong-CN"/>
              </w:rPr>
              <w:t>监督区级投资园林绿化工程落实扬尘污染防治措施；根据应急指令，组织和督导区级投资园林绿化施工工地落实不同预警等级的应急措施；编制本部门应急响应专项实施方案并对落实情况开展督查；完成区生态环境保护工作委员会办公室交办的其他事项。</w:t>
            </w:r>
          </w:p>
        </w:tc>
      </w:tr>
      <w:tr w14:paraId="4BDC1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4" w:type="dxa"/>
            <w:vAlign w:val="center"/>
          </w:tcPr>
          <w:p w14:paraId="3F6FC04E">
            <w:pPr>
              <w:widowControl/>
              <w:spacing w:line="400" w:lineRule="exact"/>
              <w:jc w:val="center"/>
              <w:rPr>
                <w:rFonts w:ascii="仿宋_GB2312" w:hAnsi="黑体" w:eastAsia="仿宋_GB2312" w:cs="黑体"/>
                <w:snapToGrid w:val="0"/>
                <w:kern w:val="0"/>
                <w:sz w:val="24"/>
                <w:szCs w:val="24"/>
                <w:lang w:bidi="ar"/>
              </w:rPr>
            </w:pPr>
            <w:r>
              <w:rPr>
                <w:rFonts w:hint="eastAsia" w:ascii="仿宋_GB2312" w:hAnsi="黑体" w:eastAsia="仿宋_GB2312" w:cs="黑体"/>
                <w:snapToGrid w:val="0"/>
                <w:kern w:val="0"/>
                <w:sz w:val="24"/>
                <w:szCs w:val="24"/>
                <w:lang w:bidi="ar"/>
              </w:rPr>
              <w:t>区教育</w:t>
            </w:r>
          </w:p>
          <w:p w14:paraId="7820DEA6">
            <w:pPr>
              <w:widowControl/>
              <w:spacing w:line="400" w:lineRule="exact"/>
              <w:jc w:val="center"/>
              <w:rPr>
                <w:rFonts w:ascii="仿宋_GB2312" w:hAnsi="黑体" w:eastAsia="仿宋_GB2312" w:cs="黑体"/>
                <w:snapToGrid w:val="0"/>
                <w:kern w:val="0"/>
                <w:sz w:val="24"/>
                <w:szCs w:val="24"/>
                <w:lang w:bidi="ar"/>
              </w:rPr>
            </w:pPr>
            <w:r>
              <w:rPr>
                <w:rFonts w:hint="eastAsia" w:ascii="仿宋_GB2312" w:hAnsi="黑体" w:eastAsia="仿宋_GB2312" w:cs="黑体"/>
                <w:snapToGrid w:val="0"/>
                <w:kern w:val="0"/>
                <w:sz w:val="24"/>
                <w:szCs w:val="24"/>
                <w:lang w:bidi="ar"/>
              </w:rPr>
              <w:t>和体育局</w:t>
            </w:r>
          </w:p>
        </w:tc>
        <w:tc>
          <w:tcPr>
            <w:tcW w:w="6638" w:type="dxa"/>
            <w:vAlign w:val="center"/>
          </w:tcPr>
          <w:p w14:paraId="4646E3CB">
            <w:pPr>
              <w:widowControl/>
              <w:topLinePunct/>
              <w:autoSpaceDE w:val="0"/>
              <w:autoSpaceDN w:val="0"/>
              <w:adjustRightInd w:val="0"/>
              <w:snapToGrid w:val="0"/>
              <w:spacing w:line="400" w:lineRule="exact"/>
              <w:jc w:val="left"/>
              <w:textAlignment w:val="baseline"/>
              <w:rPr>
                <w:rFonts w:ascii="仿宋_GB2312" w:hAnsi="Times New Roman" w:eastAsia="仿宋_GB2312" w:cs="Times New Roman"/>
                <w:snapToGrid w:val="0"/>
                <w:color w:val="000000"/>
                <w:kern w:val="0"/>
                <w:sz w:val="24"/>
                <w:szCs w:val="24"/>
                <w:lang w:bidi="ar-SA"/>
              </w:rPr>
            </w:pPr>
            <w:r>
              <w:rPr>
                <w:rFonts w:hint="eastAsia" w:ascii="仿宋_GB2312" w:hAnsi="Times New Roman" w:eastAsia="仿宋_GB2312" w:cs="Times New Roman"/>
                <w:sz w:val="24"/>
                <w:szCs w:val="24"/>
                <w:lang w:bidi="mn-Mong-CN"/>
              </w:rPr>
              <w:t>组织中小学及幼儿园减少或停止户外活动，落实临时停课措施：落实本部门应急响应专项实施方案并对落实情况开展督查；完成区生态环境保护工作委员会办公室交办的其他事项。</w:t>
            </w:r>
          </w:p>
        </w:tc>
      </w:tr>
      <w:tr w14:paraId="3916F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4" w:type="dxa"/>
            <w:vAlign w:val="center"/>
          </w:tcPr>
          <w:p w14:paraId="5732FAF0">
            <w:pPr>
              <w:widowControl/>
              <w:topLinePunct/>
              <w:autoSpaceDE w:val="0"/>
              <w:autoSpaceDN w:val="0"/>
              <w:adjustRightInd w:val="0"/>
              <w:snapToGrid w:val="0"/>
              <w:spacing w:line="400" w:lineRule="exact"/>
              <w:jc w:val="center"/>
              <w:textAlignment w:val="baseline"/>
              <w:rPr>
                <w:rFonts w:ascii="仿宋_GB2312" w:hAnsi="黑体" w:eastAsia="仿宋_GB2312" w:cs="黑体"/>
                <w:snapToGrid w:val="0"/>
                <w:kern w:val="0"/>
                <w:sz w:val="24"/>
                <w:szCs w:val="24"/>
                <w:lang w:bidi="ar-SA"/>
              </w:rPr>
            </w:pPr>
            <w:r>
              <w:rPr>
                <w:rFonts w:hint="eastAsia" w:ascii="仿宋_GB2312" w:hAnsi="黑体" w:eastAsia="仿宋_GB2312" w:cs="黑体"/>
                <w:sz w:val="24"/>
                <w:szCs w:val="24"/>
                <w:lang w:bidi="mn-Mong-CN"/>
              </w:rPr>
              <w:t>区卫生健康局</w:t>
            </w:r>
          </w:p>
        </w:tc>
        <w:tc>
          <w:tcPr>
            <w:tcW w:w="6638" w:type="dxa"/>
            <w:vAlign w:val="center"/>
          </w:tcPr>
          <w:p w14:paraId="5FD60E03">
            <w:pPr>
              <w:widowControl/>
              <w:topLinePunct/>
              <w:autoSpaceDE w:val="0"/>
              <w:autoSpaceDN w:val="0"/>
              <w:adjustRightInd w:val="0"/>
              <w:snapToGrid w:val="0"/>
              <w:spacing w:line="400" w:lineRule="exact"/>
              <w:jc w:val="left"/>
              <w:textAlignment w:val="baseline"/>
              <w:rPr>
                <w:rFonts w:ascii="仿宋_GB2312" w:hAnsi="Times New Roman" w:eastAsia="仿宋_GB2312" w:cs="Times New Roman"/>
                <w:snapToGrid w:val="0"/>
                <w:color w:val="000000"/>
                <w:kern w:val="0"/>
                <w:sz w:val="24"/>
                <w:szCs w:val="24"/>
                <w:lang w:bidi="ar-SA"/>
              </w:rPr>
            </w:pPr>
            <w:r>
              <w:rPr>
                <w:rFonts w:hint="eastAsia" w:ascii="仿宋_GB2312" w:hAnsi="Times New Roman" w:eastAsia="仿宋_GB2312" w:cs="Times New Roman"/>
                <w:sz w:val="24"/>
                <w:szCs w:val="24"/>
                <w:lang w:bidi="mn-Mong-CN"/>
              </w:rPr>
              <w:t>组织医疗机构有针对性做好相关医疗救治工作，开展相关卫生防护知识宣传；编制本部门应急响应专项实施方案并对落实情况开展督查；完成区生态环境保护工作委员会办公室交办的其他事项。</w:t>
            </w:r>
          </w:p>
        </w:tc>
      </w:tr>
      <w:tr w14:paraId="07A67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4" w:type="dxa"/>
            <w:vAlign w:val="center"/>
          </w:tcPr>
          <w:p w14:paraId="2FA9D65A">
            <w:pPr>
              <w:widowControl/>
              <w:topLinePunct/>
              <w:autoSpaceDE w:val="0"/>
              <w:autoSpaceDN w:val="0"/>
              <w:adjustRightInd w:val="0"/>
              <w:snapToGrid w:val="0"/>
              <w:spacing w:line="400" w:lineRule="exact"/>
              <w:jc w:val="center"/>
              <w:textAlignment w:val="baseline"/>
              <w:rPr>
                <w:rFonts w:ascii="仿宋_GB2312" w:hAnsi="黑体" w:eastAsia="仿宋_GB2312" w:cs="黑体"/>
                <w:sz w:val="24"/>
                <w:szCs w:val="24"/>
                <w:lang w:bidi="mn-Mong-CN"/>
              </w:rPr>
            </w:pPr>
            <w:r>
              <w:rPr>
                <w:rFonts w:hint="eastAsia" w:ascii="仿宋_GB2312" w:hAnsi="黑体" w:eastAsia="仿宋_GB2312" w:cs="黑体"/>
                <w:sz w:val="24"/>
                <w:szCs w:val="24"/>
                <w:lang w:bidi="mn-Mong-CN"/>
              </w:rPr>
              <w:t>市公安局交通</w:t>
            </w:r>
          </w:p>
          <w:p w14:paraId="3CB2544A">
            <w:pPr>
              <w:widowControl/>
              <w:topLinePunct/>
              <w:autoSpaceDE w:val="0"/>
              <w:autoSpaceDN w:val="0"/>
              <w:adjustRightInd w:val="0"/>
              <w:snapToGrid w:val="0"/>
              <w:spacing w:line="400" w:lineRule="exact"/>
              <w:jc w:val="center"/>
              <w:textAlignment w:val="baseline"/>
              <w:rPr>
                <w:rFonts w:ascii="仿宋_GB2312" w:hAnsi="黑体" w:eastAsia="仿宋_GB2312" w:cs="黑体"/>
                <w:sz w:val="24"/>
                <w:szCs w:val="24"/>
                <w:lang w:bidi="mn-Mong-CN"/>
              </w:rPr>
            </w:pPr>
            <w:r>
              <w:rPr>
                <w:rFonts w:hint="eastAsia" w:ascii="仿宋_GB2312" w:hAnsi="黑体" w:eastAsia="仿宋_GB2312" w:cs="黑体"/>
                <w:spacing w:val="-6"/>
                <w:sz w:val="24"/>
                <w:szCs w:val="24"/>
                <w:lang w:bidi="mn-Mong-CN"/>
              </w:rPr>
              <w:t>警察支队历下区</w:t>
            </w:r>
            <w:r>
              <w:rPr>
                <w:rFonts w:hint="eastAsia" w:ascii="仿宋_GB2312" w:hAnsi="黑体" w:eastAsia="仿宋_GB2312" w:cs="黑体"/>
                <w:sz w:val="24"/>
                <w:szCs w:val="24"/>
                <w:lang w:bidi="mn-Mong-CN"/>
              </w:rPr>
              <w:t>大队</w:t>
            </w:r>
          </w:p>
        </w:tc>
        <w:tc>
          <w:tcPr>
            <w:tcW w:w="6638" w:type="dxa"/>
            <w:vAlign w:val="center"/>
          </w:tcPr>
          <w:p w14:paraId="7A904C94">
            <w:pPr>
              <w:widowControl/>
              <w:topLinePunct/>
              <w:autoSpaceDE w:val="0"/>
              <w:autoSpaceDN w:val="0"/>
              <w:adjustRightInd w:val="0"/>
              <w:snapToGrid w:val="0"/>
              <w:spacing w:line="400" w:lineRule="exact"/>
              <w:jc w:val="left"/>
              <w:textAlignment w:val="baseline"/>
              <w:rPr>
                <w:rFonts w:ascii="仿宋_GB2312" w:hAnsi="Times New Roman" w:eastAsia="仿宋_GB2312" w:cs="Times New Roman"/>
                <w:snapToGrid w:val="0"/>
                <w:color w:val="000000"/>
                <w:kern w:val="0"/>
                <w:sz w:val="24"/>
                <w:szCs w:val="24"/>
                <w:lang w:bidi="ar-SA"/>
              </w:rPr>
            </w:pPr>
            <w:r>
              <w:rPr>
                <w:rFonts w:hint="eastAsia" w:ascii="仿宋_GB2312" w:hAnsi="Times New Roman" w:eastAsia="仿宋_GB2312" w:cs="Times New Roman"/>
                <w:sz w:val="24"/>
                <w:szCs w:val="24"/>
                <w:lang w:bidi="mn-Mong-CN"/>
              </w:rPr>
              <w:t>监督实施重污染天气应急响应期间高排放车辆的临时禁行、限行措施；依法查处应急响应期间违反禁行规定的运输车辆；编制本部门应急响应专项实施方案并对落实情况开展督查；完成区生态环境保护工作委员会办公室交办的其他事项。</w:t>
            </w:r>
          </w:p>
        </w:tc>
      </w:tr>
      <w:tr w14:paraId="7957E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4" w:type="dxa"/>
            <w:vAlign w:val="center"/>
          </w:tcPr>
          <w:p w14:paraId="08294383">
            <w:pPr>
              <w:widowControl/>
              <w:topLinePunct/>
              <w:autoSpaceDE w:val="0"/>
              <w:autoSpaceDN w:val="0"/>
              <w:adjustRightInd w:val="0"/>
              <w:snapToGrid w:val="0"/>
              <w:spacing w:line="400" w:lineRule="exact"/>
              <w:jc w:val="center"/>
              <w:textAlignment w:val="baseline"/>
              <w:rPr>
                <w:rFonts w:ascii="仿宋_GB2312" w:hAnsi="黑体" w:eastAsia="仿宋_GB2312" w:cs="黑体"/>
                <w:sz w:val="24"/>
                <w:szCs w:val="24"/>
                <w:lang w:bidi="mn-Mong-CN"/>
              </w:rPr>
            </w:pPr>
            <w:r>
              <w:rPr>
                <w:rFonts w:hint="eastAsia" w:ascii="仿宋_GB2312" w:hAnsi="黑体" w:eastAsia="仿宋_GB2312" w:cs="黑体"/>
                <w:sz w:val="24"/>
                <w:szCs w:val="24"/>
                <w:lang w:bidi="mn-Mong-CN"/>
              </w:rPr>
              <w:t>各街道办事处</w:t>
            </w:r>
          </w:p>
        </w:tc>
        <w:tc>
          <w:tcPr>
            <w:tcW w:w="6638" w:type="dxa"/>
            <w:vAlign w:val="center"/>
          </w:tcPr>
          <w:p w14:paraId="670D83C8">
            <w:pPr>
              <w:widowControl/>
              <w:topLinePunct/>
              <w:autoSpaceDE w:val="0"/>
              <w:autoSpaceDN w:val="0"/>
              <w:adjustRightInd w:val="0"/>
              <w:snapToGrid w:val="0"/>
              <w:spacing w:line="400" w:lineRule="exact"/>
              <w:jc w:val="left"/>
              <w:textAlignment w:val="baseline"/>
              <w:rPr>
                <w:rFonts w:ascii="仿宋_GB2312" w:hAnsi="Times New Roman" w:eastAsia="仿宋_GB2312" w:cs="Times New Roman"/>
                <w:sz w:val="24"/>
                <w:szCs w:val="24"/>
                <w:lang w:bidi="mn-Mong-CN"/>
              </w:rPr>
            </w:pPr>
            <w:r>
              <w:rPr>
                <w:rFonts w:hint="eastAsia" w:ascii="仿宋_GB2312" w:hAnsi="Times New Roman" w:eastAsia="仿宋_GB2312" w:cs="Times New Roman"/>
                <w:sz w:val="24"/>
                <w:szCs w:val="24"/>
                <w:lang w:bidi="mn-Mong-CN"/>
              </w:rPr>
              <w:t>做好本辖区重污染天气应急处置工作，制定并落实本辖区重污染天气应急响应方案，向区生态环境保护工作委员会办公室报告预案执行情况；完成区生态环境保护工作委员会办公室交办的其他事项。</w:t>
            </w:r>
          </w:p>
        </w:tc>
      </w:tr>
    </w:tbl>
    <w:p w14:paraId="0D0AC46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D22248"/>
    <w:rsid w:val="52D222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rPr>
      <w:rFonts w:ascii="Times New Roman" w:hAnsi="Times New Roman" w:eastAsia="宋体" w:cs="Times New Roman"/>
      <w:lang w:bidi="mn-Mong-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2026-09-24T02:53:00Z</dcterms:created>
  <dc:creator>WPS_1604918664</dc:creator>
  <cp:lastModifiedBy>WPS_1604918664</cp:lastModifiedBy>
  <dcterms:modified xsi:type="dcterms:W3CDTF">2026-09-24T02:53:20Z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ED375A55BBF44D6EA045FC8A2534284D_11</vt:lpwstr>
  </property>
  <property fmtid="{D5CDD505-2E9C-101B-9397-08002B2CF9AE}" pid="4" name="KSOTemplateDocerSaveRecord">
    <vt:lpwstr>eyJoZGlkIjoiNWIzZmZlZDNhMzZhNTczMDUyOTkyNWQ3NTJkNmRhMzAiLCJ1c2VySWQiOiIxMTQxNzUwNDI1In0=</vt:lpwstr>
  </property>
</Properties>
</file>